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ArialUnicodeMS"/>
          <w:kern w:val="0"/>
          <w:sz w:val="32"/>
          <w:szCs w:val="32"/>
        </w:rPr>
      </w:pPr>
    </w:p>
    <w:p>
      <w:pPr>
        <w:rPr>
          <w:rFonts w:ascii="黑体" w:eastAsia="黑体" w:cs="ArialUnicodeMS"/>
          <w:kern w:val="0"/>
          <w:sz w:val="72"/>
          <w:szCs w:val="72"/>
        </w:rPr>
      </w:pPr>
    </w:p>
    <w:p>
      <w:pPr>
        <w:rPr>
          <w:rFonts w:ascii="黑体" w:eastAsia="黑体" w:cs="ArialUnicodeMS"/>
          <w:kern w:val="0"/>
          <w:sz w:val="72"/>
          <w:szCs w:val="72"/>
        </w:rPr>
      </w:pPr>
    </w:p>
    <w:p>
      <w:pPr>
        <w:jc w:val="center"/>
        <w:rPr>
          <w:rFonts w:ascii="黑体" w:hAnsi="黑体" w:eastAsia="黑体"/>
          <w:bCs/>
          <w:color w:val="000000"/>
          <w:sz w:val="52"/>
          <w:szCs w:val="52"/>
        </w:rPr>
      </w:pPr>
      <w:r>
        <w:rPr>
          <w:rFonts w:hint="eastAsia" w:ascii="黑体" w:eastAsia="黑体" w:cs="ArialUnicodeMS"/>
          <w:kern w:val="0"/>
          <w:sz w:val="52"/>
          <w:szCs w:val="52"/>
        </w:rPr>
        <w:t>柳州市青少年宫</w:t>
      </w:r>
    </w:p>
    <w:p>
      <w:pPr>
        <w:jc w:val="center"/>
        <w:rPr>
          <w:rFonts w:ascii="黑体" w:eastAsia="黑体" w:cs="ArialUnicodeMS"/>
          <w:kern w:val="0"/>
          <w:sz w:val="52"/>
          <w:szCs w:val="52"/>
        </w:rPr>
      </w:pPr>
      <w:r>
        <w:rPr>
          <w:rFonts w:hint="eastAsia" w:ascii="黑体" w:eastAsia="黑体"/>
          <w:kern w:val="0"/>
          <w:sz w:val="52"/>
          <w:szCs w:val="52"/>
        </w:rPr>
        <w:t>2020</w:t>
      </w:r>
      <w:r>
        <w:rPr>
          <w:rFonts w:hint="eastAsia" w:ascii="黑体" w:eastAsia="黑体" w:cs="ArialUnicodeMS"/>
          <w:kern w:val="0"/>
          <w:sz w:val="52"/>
          <w:szCs w:val="52"/>
        </w:rPr>
        <w:t>年度决算</w:t>
      </w: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rPr>
          <w:rFonts w:ascii="ArialUnicodeMS" w:eastAsia="ArialUnicodeMS" w:cs="ArialUnicodeMS"/>
          <w:kern w:val="0"/>
          <w:sz w:val="84"/>
          <w:szCs w:val="84"/>
        </w:rPr>
      </w:pPr>
    </w:p>
    <w:p>
      <w:pPr>
        <w:jc w:val="center"/>
        <w:rPr>
          <w:rFonts w:ascii="黑体" w:eastAsia="黑体" w:cs="黑体"/>
          <w:kern w:val="0"/>
          <w:sz w:val="44"/>
          <w:szCs w:val="44"/>
        </w:rPr>
      </w:pPr>
    </w:p>
    <w:p>
      <w:pPr>
        <w:ind w:firstLine="646"/>
        <w:jc w:val="center"/>
        <w:rPr>
          <w:rFonts w:ascii="方正小标宋简体" w:eastAsia="方正小标宋简体"/>
          <w:b/>
          <w:sz w:val="44"/>
          <w:szCs w:val="44"/>
        </w:rPr>
      </w:pPr>
      <w:r>
        <w:rPr>
          <w:rFonts w:hint="eastAsia" w:ascii="方正小标宋简体" w:eastAsia="方正小标宋简体"/>
          <w:b/>
          <w:sz w:val="44"/>
          <w:szCs w:val="44"/>
        </w:rPr>
        <w:t>目    录</w:t>
      </w:r>
    </w:p>
    <w:p>
      <w:pPr>
        <w:ind w:firstLine="645"/>
        <w:rPr>
          <w:rFonts w:ascii="仿宋_GB2312" w:eastAsia="仿宋_GB2312"/>
          <w:b/>
          <w:sz w:val="32"/>
          <w:szCs w:val="32"/>
        </w:rPr>
      </w:pPr>
    </w:p>
    <w:p>
      <w:pPr>
        <w:ind w:firstLine="645"/>
        <w:rPr>
          <w:rFonts w:ascii="仿宋_GB2312" w:eastAsia="仿宋_GB2312"/>
          <w:b/>
          <w:sz w:val="32"/>
          <w:szCs w:val="32"/>
        </w:rPr>
      </w:pPr>
      <w:r>
        <w:rPr>
          <w:rFonts w:hint="eastAsia" w:ascii="仿宋_GB2312" w:eastAsia="仿宋_GB2312"/>
          <w:b/>
          <w:sz w:val="32"/>
          <w:szCs w:val="32"/>
        </w:rPr>
        <w:t>第一部分：</w:t>
      </w:r>
      <w:r>
        <w:rPr>
          <w:rFonts w:hint="eastAsia" w:ascii="仿宋_GB2312" w:hAnsi="黑体" w:eastAsia="仿宋_GB2312"/>
          <w:b/>
          <w:bCs/>
          <w:color w:val="000000"/>
          <w:sz w:val="32"/>
          <w:szCs w:val="32"/>
        </w:rPr>
        <w:t>柳州市青少年宫</w:t>
      </w:r>
      <w:r>
        <w:rPr>
          <w:rFonts w:hint="eastAsia" w:ascii="仿宋_GB2312" w:eastAsia="仿宋_GB2312"/>
          <w:b/>
          <w:sz w:val="32"/>
          <w:szCs w:val="32"/>
        </w:rPr>
        <w:t>概况</w:t>
      </w:r>
    </w:p>
    <w:p>
      <w:pPr>
        <w:ind w:firstLine="645"/>
        <w:rPr>
          <w:rFonts w:ascii="仿宋_GB2312" w:eastAsia="仿宋_GB2312"/>
          <w:sz w:val="32"/>
          <w:szCs w:val="32"/>
        </w:rPr>
      </w:pPr>
      <w:r>
        <w:rPr>
          <w:rFonts w:hint="eastAsia" w:ascii="仿宋_GB2312" w:eastAsia="仿宋_GB2312"/>
          <w:sz w:val="32"/>
          <w:szCs w:val="32"/>
        </w:rPr>
        <w:t>一、主要职能</w:t>
      </w:r>
    </w:p>
    <w:p>
      <w:pPr>
        <w:ind w:firstLine="645"/>
        <w:rPr>
          <w:rFonts w:ascii="仿宋_GB2312" w:eastAsia="仿宋_GB2312"/>
          <w:sz w:val="32"/>
          <w:szCs w:val="32"/>
        </w:rPr>
      </w:pPr>
      <w:r>
        <w:rPr>
          <w:rFonts w:hint="eastAsia" w:ascii="仿宋_GB2312" w:eastAsia="仿宋_GB2312"/>
          <w:sz w:val="32"/>
          <w:szCs w:val="32"/>
        </w:rPr>
        <w:t>二、单位决算构成</w:t>
      </w:r>
    </w:p>
    <w:p>
      <w:pPr>
        <w:ind w:firstLine="645"/>
        <w:rPr>
          <w:rFonts w:ascii="仿宋_GB2312" w:eastAsia="仿宋_GB2312"/>
          <w:b/>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柳州市青少年宫</w:t>
      </w:r>
      <w:r>
        <w:rPr>
          <w:rFonts w:hint="eastAsia" w:ascii="仿宋_GB2312" w:eastAsia="仿宋_GB2312"/>
          <w:b/>
          <w:sz w:val="32"/>
          <w:szCs w:val="32"/>
        </w:rPr>
        <w:t>2020年决算报表</w:t>
      </w:r>
    </w:p>
    <w:p>
      <w:pPr>
        <w:ind w:left="645"/>
        <w:rPr>
          <w:rFonts w:ascii="仿宋_GB2312" w:eastAsia="仿宋_GB2312"/>
          <w:sz w:val="32"/>
          <w:szCs w:val="32"/>
        </w:rPr>
      </w:pPr>
      <w:r>
        <w:rPr>
          <w:rFonts w:hint="eastAsia" w:ascii="仿宋_GB2312" w:eastAsia="仿宋_GB2312"/>
          <w:sz w:val="32"/>
          <w:szCs w:val="32"/>
        </w:rPr>
        <w:t>表一：收入支出决算总表</w:t>
      </w:r>
    </w:p>
    <w:p>
      <w:pPr>
        <w:ind w:left="645"/>
        <w:rPr>
          <w:rFonts w:ascii="仿宋_GB2312" w:eastAsia="仿宋_GB2312"/>
          <w:sz w:val="32"/>
          <w:szCs w:val="32"/>
        </w:rPr>
      </w:pPr>
      <w:r>
        <w:rPr>
          <w:rFonts w:hint="eastAsia" w:ascii="仿宋_GB2312" w:eastAsia="仿宋_GB2312"/>
          <w:sz w:val="32"/>
          <w:szCs w:val="32"/>
        </w:rPr>
        <w:t>表二：收入决算表</w:t>
      </w:r>
    </w:p>
    <w:p>
      <w:pPr>
        <w:ind w:left="645"/>
        <w:rPr>
          <w:rFonts w:ascii="仿宋_GB2312" w:eastAsia="仿宋_GB2312"/>
          <w:sz w:val="32"/>
          <w:szCs w:val="32"/>
        </w:rPr>
      </w:pPr>
      <w:r>
        <w:rPr>
          <w:rFonts w:hint="eastAsia" w:ascii="仿宋_GB2312" w:eastAsia="仿宋_GB2312"/>
          <w:sz w:val="32"/>
          <w:szCs w:val="32"/>
        </w:rPr>
        <w:t>表三：支出决算表</w:t>
      </w:r>
    </w:p>
    <w:p>
      <w:pPr>
        <w:ind w:left="645"/>
        <w:rPr>
          <w:rFonts w:ascii="仿宋_GB2312" w:eastAsia="仿宋_GB2312"/>
          <w:sz w:val="32"/>
          <w:szCs w:val="32"/>
        </w:rPr>
      </w:pPr>
      <w:r>
        <w:rPr>
          <w:rFonts w:hint="eastAsia" w:ascii="仿宋_GB2312" w:eastAsia="仿宋_GB2312"/>
          <w:sz w:val="32"/>
          <w:szCs w:val="32"/>
        </w:rPr>
        <w:t>表四：财政拨款收入支出决算总表</w:t>
      </w:r>
    </w:p>
    <w:p>
      <w:pPr>
        <w:ind w:left="645"/>
        <w:rPr>
          <w:rFonts w:ascii="仿宋_GB2312" w:eastAsia="仿宋_GB2312"/>
          <w:sz w:val="32"/>
          <w:szCs w:val="32"/>
        </w:rPr>
      </w:pPr>
      <w:r>
        <w:rPr>
          <w:rFonts w:hint="eastAsia" w:ascii="仿宋_GB2312" w:eastAsia="仿宋_GB2312"/>
          <w:sz w:val="32"/>
          <w:szCs w:val="32"/>
        </w:rPr>
        <w:t>表五：一般公共预算财政拨款支出决算表</w:t>
      </w:r>
    </w:p>
    <w:p>
      <w:pPr>
        <w:ind w:left="645"/>
        <w:rPr>
          <w:rFonts w:ascii="仿宋_GB2312" w:eastAsia="仿宋_GB2312"/>
          <w:sz w:val="32"/>
          <w:szCs w:val="32"/>
        </w:rPr>
      </w:pPr>
      <w:r>
        <w:rPr>
          <w:rFonts w:hint="eastAsia" w:ascii="仿宋_GB2312" w:eastAsia="仿宋_GB2312"/>
          <w:sz w:val="32"/>
          <w:szCs w:val="32"/>
        </w:rPr>
        <w:t>表六：一般公共预算财政拨款基本支出决算表</w:t>
      </w:r>
    </w:p>
    <w:p>
      <w:pPr>
        <w:ind w:left="645"/>
        <w:rPr>
          <w:rFonts w:ascii="仿宋_GB2312" w:eastAsia="仿宋_GB2312"/>
          <w:sz w:val="32"/>
          <w:szCs w:val="32"/>
        </w:rPr>
      </w:pPr>
      <w:r>
        <w:rPr>
          <w:rFonts w:hint="eastAsia" w:ascii="仿宋_GB2312" w:eastAsia="仿宋_GB2312"/>
          <w:sz w:val="32"/>
          <w:szCs w:val="32"/>
        </w:rPr>
        <w:t>表七：一般公共预算财政拨款安排的“</w:t>
      </w:r>
      <w:r>
        <w:rPr>
          <w:rFonts w:ascii="仿宋_GB2312" w:eastAsia="仿宋_GB2312"/>
          <w:sz w:val="32"/>
          <w:szCs w:val="32"/>
        </w:rPr>
        <w:t>三公</w:t>
      </w:r>
      <w:r>
        <w:rPr>
          <w:rFonts w:hint="eastAsia" w:ascii="仿宋_GB2312" w:eastAsia="仿宋_GB2312"/>
          <w:sz w:val="32"/>
          <w:szCs w:val="32"/>
        </w:rPr>
        <w:t>”</w:t>
      </w:r>
      <w:r>
        <w:rPr>
          <w:rFonts w:ascii="仿宋_GB2312" w:eastAsia="仿宋_GB2312"/>
          <w:sz w:val="32"/>
          <w:szCs w:val="32"/>
        </w:rPr>
        <w:t>经费</w:t>
      </w:r>
      <w:r>
        <w:rPr>
          <w:rFonts w:hint="eastAsia" w:ascii="仿宋_GB2312" w:eastAsia="仿宋_GB2312"/>
          <w:sz w:val="32"/>
          <w:szCs w:val="32"/>
        </w:rPr>
        <w:t>支出决算表</w:t>
      </w:r>
    </w:p>
    <w:p>
      <w:pPr>
        <w:ind w:left="645"/>
        <w:rPr>
          <w:rFonts w:ascii="仿宋_GB2312" w:eastAsia="仿宋_GB2312"/>
          <w:sz w:val="32"/>
          <w:szCs w:val="32"/>
        </w:rPr>
      </w:pPr>
      <w:r>
        <w:rPr>
          <w:rFonts w:hint="eastAsia" w:ascii="仿宋_GB2312" w:eastAsia="仿宋_GB2312"/>
          <w:sz w:val="32"/>
          <w:szCs w:val="32"/>
        </w:rPr>
        <w:t>表八：政府性基金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ind w:left="645"/>
        <w:rPr>
          <w:rFonts w:ascii="仿宋_GB2312" w:eastAsia="仿宋_GB2312"/>
          <w:sz w:val="32"/>
          <w:szCs w:val="32"/>
        </w:rPr>
      </w:pPr>
      <w:r>
        <w:rPr>
          <w:rFonts w:hint="eastAsia" w:ascii="仿宋_GB2312" w:eastAsia="仿宋_GB2312"/>
          <w:sz w:val="32"/>
          <w:szCs w:val="32"/>
        </w:rPr>
        <w:t>表九：国有资本经营预算财政拨款支出决算表</w:t>
      </w:r>
    </w:p>
    <w:p>
      <w:pPr>
        <w:ind w:firstLine="645"/>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rPr>
        <w:t>柳州市青少年宫</w:t>
      </w:r>
      <w:r>
        <w:rPr>
          <w:rFonts w:hint="eastAsia" w:ascii="仿宋_GB2312" w:eastAsia="仿宋_GB2312"/>
          <w:b/>
          <w:sz w:val="32"/>
          <w:szCs w:val="32"/>
        </w:rPr>
        <w:t>2020年度决算情况说明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eastAsia="仿宋_GB2312"/>
          <w:kern w:val="0"/>
          <w:sz w:val="32"/>
          <w:szCs w:val="32"/>
        </w:rPr>
        <w:t>2020</w:t>
      </w:r>
      <w:r>
        <w:rPr>
          <w:rFonts w:hint="eastAsia" w:ascii="仿宋_GB2312" w:eastAsia="仿宋_GB2312" w:cs="仿宋_GB2312"/>
          <w:kern w:val="0"/>
          <w:sz w:val="32"/>
          <w:szCs w:val="32"/>
        </w:rPr>
        <w:t>年度收入支出决算总体情况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eastAsia="仿宋_GB2312"/>
          <w:kern w:val="0"/>
          <w:sz w:val="32"/>
          <w:szCs w:val="32"/>
        </w:rPr>
        <w:t>2020</w:t>
      </w:r>
      <w:r>
        <w:rPr>
          <w:rFonts w:hint="eastAsia" w:ascii="仿宋_GB2312" w:eastAsia="仿宋_GB2312" w:cs="仿宋_GB2312"/>
          <w:kern w:val="0"/>
          <w:sz w:val="32"/>
          <w:szCs w:val="32"/>
        </w:rPr>
        <w:t>年度收入决算情况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eastAsia="仿宋_GB2312"/>
          <w:kern w:val="0"/>
          <w:sz w:val="32"/>
          <w:szCs w:val="32"/>
        </w:rPr>
        <w:t>2020</w:t>
      </w:r>
      <w:r>
        <w:rPr>
          <w:rFonts w:hint="eastAsia" w:ascii="仿宋_GB2312" w:eastAsia="仿宋_GB2312" w:cs="仿宋_GB2312"/>
          <w:kern w:val="0"/>
          <w:sz w:val="32"/>
          <w:szCs w:val="32"/>
        </w:rPr>
        <w:t>年度支出决算情况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eastAsia="仿宋_GB2312"/>
          <w:kern w:val="0"/>
          <w:sz w:val="32"/>
          <w:szCs w:val="32"/>
        </w:rPr>
        <w:t>2020</w:t>
      </w:r>
      <w:r>
        <w:rPr>
          <w:rFonts w:hint="eastAsia" w:ascii="仿宋_GB2312" w:eastAsia="仿宋_GB2312" w:cs="仿宋_GB2312"/>
          <w:kern w:val="0"/>
          <w:sz w:val="32"/>
          <w:szCs w:val="32"/>
        </w:rPr>
        <w:t>年度财政拨款收入支出决算情况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eastAsia="仿宋_GB2312"/>
          <w:kern w:val="0"/>
          <w:sz w:val="32"/>
          <w:szCs w:val="32"/>
        </w:rPr>
        <w:t>2020</w:t>
      </w:r>
      <w:r>
        <w:rPr>
          <w:rFonts w:hint="eastAsia" w:ascii="仿宋_GB2312" w:eastAsia="仿宋_GB2312" w:cs="仿宋_GB2312"/>
          <w:kern w:val="0"/>
          <w:sz w:val="32"/>
          <w:szCs w:val="32"/>
        </w:rPr>
        <w:t>年度一般公共预算财政拨款支出决算情况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六、</w:t>
      </w:r>
      <w:r>
        <w:rPr>
          <w:rFonts w:hint="eastAsia" w:eastAsia="仿宋_GB2312"/>
          <w:kern w:val="0"/>
          <w:sz w:val="32"/>
          <w:szCs w:val="32"/>
        </w:rPr>
        <w:t>2020</w:t>
      </w:r>
      <w:r>
        <w:rPr>
          <w:rFonts w:hint="eastAsia" w:ascii="仿宋_GB2312" w:eastAsia="仿宋_GB2312" w:cs="仿宋_GB2312"/>
          <w:kern w:val="0"/>
          <w:sz w:val="32"/>
          <w:szCs w:val="32"/>
        </w:rPr>
        <w:t>年度一般公共预算财政拨款基本支出决算情况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七、</w:t>
      </w:r>
      <w:r>
        <w:rPr>
          <w:rFonts w:hint="eastAsia" w:eastAsia="仿宋_GB2312"/>
          <w:kern w:val="0"/>
          <w:sz w:val="32"/>
          <w:szCs w:val="32"/>
        </w:rPr>
        <w:t>2020</w:t>
      </w:r>
      <w:r>
        <w:rPr>
          <w:rFonts w:hint="eastAsia" w:ascii="仿宋_GB2312" w:eastAsia="仿宋_GB2312" w:cs="仿宋_GB2312"/>
          <w:kern w:val="0"/>
          <w:sz w:val="32"/>
          <w:szCs w:val="32"/>
        </w:rPr>
        <w:t>年度一般公共预算财政拨款“三公”经费支出决算情况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kern w:val="0"/>
          <w:sz w:val="32"/>
          <w:szCs w:val="32"/>
        </w:rPr>
        <w:t>八、</w:t>
      </w:r>
      <w:r>
        <w:rPr>
          <w:rFonts w:hint="eastAsia" w:eastAsia="仿宋_GB2312"/>
          <w:kern w:val="0"/>
          <w:sz w:val="32"/>
          <w:szCs w:val="32"/>
        </w:rPr>
        <w:t>2020</w:t>
      </w:r>
      <w:r>
        <w:rPr>
          <w:rFonts w:hint="eastAsia" w:ascii="仿宋_GB2312" w:eastAsia="仿宋_GB2312" w:cs="仿宋_GB2312"/>
          <w:bCs/>
          <w:kern w:val="0"/>
          <w:sz w:val="32"/>
          <w:szCs w:val="32"/>
        </w:rPr>
        <w:t>年度政府性基金预算财政拨款收入支出决算情况</w:t>
      </w:r>
    </w:p>
    <w:p>
      <w:pPr>
        <w:ind w:left="645"/>
        <w:rPr>
          <w:rFonts w:ascii="仿宋_GB2312" w:eastAsia="仿宋_GB2312" w:cs="仿宋_GB2312"/>
          <w:bCs/>
          <w:kern w:val="0"/>
          <w:sz w:val="32"/>
          <w:szCs w:val="32"/>
        </w:rPr>
      </w:pPr>
      <w:r>
        <w:rPr>
          <w:rFonts w:hint="eastAsia" w:ascii="仿宋_GB2312" w:eastAsia="仿宋_GB2312" w:cs="仿宋_GB2312"/>
          <w:bCs/>
          <w:kern w:val="0"/>
          <w:sz w:val="32"/>
          <w:szCs w:val="32"/>
        </w:rPr>
        <w:t>九、</w:t>
      </w:r>
      <w:r>
        <w:rPr>
          <w:rFonts w:hint="eastAsia" w:ascii="仿宋_GB2312" w:eastAsia="仿宋_GB2312"/>
          <w:sz w:val="32"/>
          <w:szCs w:val="32"/>
        </w:rPr>
        <w:t>国有资本经营预算财政拨款支出决算情况</w:t>
      </w:r>
    </w:p>
    <w:p>
      <w:pPr>
        <w:autoSpaceDE w:val="0"/>
        <w:autoSpaceDN w:val="0"/>
        <w:adjustRightInd w:val="0"/>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十、</w:t>
      </w:r>
      <w:r>
        <w:rPr>
          <w:rFonts w:hint="eastAsia" w:eastAsia="仿宋_GB2312"/>
          <w:kern w:val="0"/>
          <w:sz w:val="32"/>
          <w:szCs w:val="32"/>
        </w:rPr>
        <w:t>2020</w:t>
      </w:r>
      <w:r>
        <w:rPr>
          <w:rFonts w:hint="eastAsia" w:ascii="仿宋_GB2312" w:eastAsia="仿宋_GB2312" w:cs="仿宋_GB2312"/>
          <w:bCs/>
          <w:kern w:val="0"/>
          <w:sz w:val="32"/>
          <w:szCs w:val="32"/>
        </w:rPr>
        <w:t>年度预算绩效情况说明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十一、其他重要事项的情况说明</w:t>
      </w:r>
    </w:p>
    <w:p>
      <w:pPr>
        <w:ind w:firstLine="645"/>
        <w:rPr>
          <w:rFonts w:ascii="仿宋_GB2312" w:eastAsia="仿宋_GB2312"/>
          <w:b/>
          <w:sz w:val="32"/>
          <w:szCs w:val="32"/>
        </w:rPr>
      </w:pPr>
      <w:r>
        <w:rPr>
          <w:rFonts w:hint="eastAsia" w:ascii="仿宋_GB2312" w:eastAsia="仿宋_GB2312"/>
          <w:b/>
          <w:sz w:val="32"/>
          <w:szCs w:val="32"/>
        </w:rPr>
        <w:t>第四部分：名词解释</w:t>
      </w:r>
    </w:p>
    <w:p>
      <w:pPr>
        <w:ind w:firstLine="646"/>
        <w:jc w:val="center"/>
        <w:rPr>
          <w:rFonts w:ascii="仿宋_GB2312" w:eastAsia="仿宋_GB2312"/>
          <w:b/>
          <w:sz w:val="32"/>
          <w:szCs w:val="32"/>
        </w:rPr>
      </w:pPr>
      <w:r>
        <w:rPr>
          <w:rFonts w:hint="eastAsia" w:ascii="仿宋_GB2312" w:eastAsia="仿宋_GB2312" w:cs="仿宋_GB2312"/>
          <w:bCs/>
          <w:kern w:val="0"/>
          <w:sz w:val="32"/>
          <w:szCs w:val="32"/>
        </w:rPr>
        <w:br w:type="page"/>
      </w:r>
      <w:r>
        <w:rPr>
          <w:rFonts w:hint="eastAsia" w:ascii="仿宋_GB2312" w:eastAsia="仿宋_GB2312"/>
          <w:b/>
          <w:sz w:val="32"/>
          <w:szCs w:val="32"/>
        </w:rPr>
        <w:t>第一部分：</w:t>
      </w:r>
      <w:r>
        <w:rPr>
          <w:rFonts w:hint="eastAsia" w:ascii="仿宋_GB2312" w:hAnsi="黑体" w:eastAsia="仿宋_GB2312"/>
          <w:b/>
          <w:bCs/>
          <w:color w:val="000000"/>
          <w:sz w:val="32"/>
          <w:szCs w:val="32"/>
        </w:rPr>
        <w:t>柳州市青少年宫</w:t>
      </w:r>
      <w:r>
        <w:rPr>
          <w:rFonts w:hint="eastAsia" w:ascii="仿宋_GB2312" w:eastAsia="仿宋_GB2312"/>
          <w:b/>
          <w:sz w:val="32"/>
          <w:szCs w:val="32"/>
        </w:rPr>
        <w:t>概况</w:t>
      </w:r>
    </w:p>
    <w:p>
      <w:pPr>
        <w:ind w:firstLine="646"/>
        <w:rPr>
          <w:rFonts w:ascii="仿宋_GB2312" w:eastAsia="仿宋_GB2312"/>
          <w:sz w:val="32"/>
          <w:szCs w:val="32"/>
        </w:rPr>
      </w:pPr>
      <w:r>
        <w:rPr>
          <w:rFonts w:hint="eastAsia" w:ascii="仿宋_GB2312" w:eastAsia="仿宋_GB2312"/>
          <w:sz w:val="32"/>
          <w:szCs w:val="32"/>
        </w:rPr>
        <w:t>一、主要职能</w:t>
      </w:r>
    </w:p>
    <w:p>
      <w:pPr>
        <w:spacing w:line="560" w:lineRule="exact"/>
        <w:ind w:left="643" w:firstLine="640" w:firstLineChars="200"/>
        <w:rPr>
          <w:rFonts w:ascii="仿宋" w:hAnsi="仿宋" w:eastAsia="仿宋" w:cs="仿宋"/>
          <w:sz w:val="32"/>
          <w:szCs w:val="32"/>
        </w:rPr>
      </w:pPr>
      <w:r>
        <w:rPr>
          <w:rFonts w:hint="eastAsia" w:ascii="仿宋" w:hAnsi="仿宋" w:eastAsia="仿宋" w:cs="仿宋"/>
          <w:sz w:val="32"/>
          <w:szCs w:val="32"/>
        </w:rPr>
        <w:t>柳州市青少年宫主要职责：</w:t>
      </w:r>
    </w:p>
    <w:p>
      <w:pPr>
        <w:spacing w:line="560" w:lineRule="exact"/>
        <w:ind w:left="643" w:firstLine="640" w:firstLineChars="200"/>
        <w:rPr>
          <w:rFonts w:ascii="仿宋_GB2312" w:hAnsi="华文仿宋" w:eastAsia="仿宋_GB2312" w:cs="宋体"/>
          <w:bCs/>
          <w:color w:val="000000"/>
          <w:kern w:val="0"/>
          <w:sz w:val="32"/>
          <w:szCs w:val="32"/>
        </w:rPr>
      </w:pPr>
      <w:r>
        <w:rPr>
          <w:rFonts w:hint="eastAsia" w:ascii="楷体_GB2312" w:hAnsi="华文仿宋" w:eastAsia="楷体_GB2312" w:cs="宋体"/>
          <w:bCs/>
          <w:color w:val="000000"/>
          <w:kern w:val="0"/>
          <w:sz w:val="32"/>
          <w:szCs w:val="32"/>
        </w:rPr>
        <w:t>（一）</w:t>
      </w:r>
      <w:r>
        <w:rPr>
          <w:rFonts w:ascii="仿宋_GB2312" w:hAnsi="华文仿宋" w:eastAsia="仿宋_GB2312" w:cs="宋体"/>
          <w:bCs/>
          <w:color w:val="000000"/>
          <w:kern w:val="0"/>
          <w:sz w:val="32"/>
          <w:szCs w:val="32"/>
        </w:rPr>
        <w:t>推广普及校外教育，提高青少年综合素质。</w:t>
      </w:r>
      <w:r>
        <w:rPr>
          <w:rFonts w:hint="eastAsia" w:ascii="仿宋_GB2312" w:hAnsi="华文仿宋" w:eastAsia="仿宋_GB2312" w:cs="宋体"/>
          <w:bCs/>
          <w:color w:val="000000"/>
          <w:kern w:val="0"/>
          <w:sz w:val="32"/>
          <w:szCs w:val="32"/>
        </w:rPr>
        <w:t>提供</w:t>
      </w:r>
      <w:r>
        <w:rPr>
          <w:rFonts w:ascii="仿宋_GB2312" w:hAnsi="华文仿宋" w:eastAsia="仿宋_GB2312" w:cs="宋体"/>
          <w:bCs/>
          <w:color w:val="000000"/>
          <w:kern w:val="0"/>
          <w:sz w:val="32"/>
          <w:szCs w:val="32"/>
        </w:rPr>
        <w:t>文化艺术技能培训</w:t>
      </w:r>
      <w:r>
        <w:rPr>
          <w:rFonts w:hint="eastAsia" w:ascii="仿宋_GB2312" w:hAnsi="华文仿宋" w:eastAsia="仿宋_GB2312" w:cs="宋体"/>
          <w:bCs/>
          <w:color w:val="000000"/>
          <w:kern w:val="0"/>
          <w:sz w:val="32"/>
          <w:szCs w:val="32"/>
        </w:rPr>
        <w:t>、</w:t>
      </w:r>
      <w:r>
        <w:rPr>
          <w:rFonts w:ascii="仿宋_GB2312" w:hAnsi="华文仿宋" w:eastAsia="仿宋_GB2312" w:cs="宋体"/>
          <w:bCs/>
          <w:color w:val="000000"/>
          <w:kern w:val="0"/>
          <w:sz w:val="32"/>
          <w:szCs w:val="32"/>
        </w:rPr>
        <w:t>文体娱乐活动组织</w:t>
      </w:r>
      <w:r>
        <w:rPr>
          <w:rFonts w:hint="eastAsia" w:ascii="仿宋_GB2312" w:hAnsi="华文仿宋" w:eastAsia="仿宋_GB2312" w:cs="宋体"/>
          <w:bCs/>
          <w:color w:val="000000"/>
          <w:kern w:val="0"/>
          <w:sz w:val="32"/>
          <w:szCs w:val="32"/>
        </w:rPr>
        <w:t>、</w:t>
      </w:r>
      <w:r>
        <w:rPr>
          <w:rFonts w:ascii="仿宋_GB2312" w:hAnsi="华文仿宋" w:eastAsia="仿宋_GB2312" w:cs="宋体"/>
          <w:bCs/>
          <w:color w:val="000000"/>
          <w:kern w:val="0"/>
          <w:sz w:val="32"/>
          <w:szCs w:val="32"/>
        </w:rPr>
        <w:t>科普常识推介服务</w:t>
      </w:r>
      <w:r>
        <w:rPr>
          <w:rFonts w:hint="eastAsia" w:ascii="仿宋_GB2312" w:hAnsi="华文仿宋" w:eastAsia="仿宋_GB2312" w:cs="宋体"/>
          <w:bCs/>
          <w:color w:val="000000"/>
          <w:kern w:val="0"/>
          <w:sz w:val="32"/>
          <w:szCs w:val="32"/>
        </w:rPr>
        <w:t>。</w:t>
      </w:r>
    </w:p>
    <w:p>
      <w:pPr>
        <w:spacing w:line="560" w:lineRule="exact"/>
        <w:ind w:left="643" w:firstLine="640" w:firstLineChars="200"/>
        <w:rPr>
          <w:rFonts w:ascii="楷体_GB2312" w:hAnsi="华文仿宋" w:eastAsia="楷体_GB2312" w:cs="宋体"/>
          <w:b/>
          <w:color w:val="000000"/>
          <w:kern w:val="0"/>
          <w:sz w:val="32"/>
          <w:szCs w:val="32"/>
        </w:rPr>
      </w:pPr>
      <w:r>
        <w:rPr>
          <w:rFonts w:hint="eastAsia" w:ascii="楷体_GB2312" w:hAnsi="华文仿宋" w:eastAsia="楷体_GB2312" w:cs="宋体"/>
          <w:bCs/>
          <w:color w:val="000000"/>
          <w:kern w:val="0"/>
          <w:sz w:val="32"/>
          <w:szCs w:val="32"/>
        </w:rPr>
        <w:t>（二）</w:t>
      </w:r>
      <w:r>
        <w:rPr>
          <w:rFonts w:hint="eastAsia" w:ascii="仿宋_GB2312" w:hAnsi="华文仿宋" w:eastAsia="仿宋_GB2312" w:cs="宋体"/>
          <w:bCs/>
          <w:color w:val="000000"/>
          <w:kern w:val="0"/>
          <w:sz w:val="32"/>
          <w:szCs w:val="32"/>
        </w:rPr>
        <w:t>加强青少年宫的教师及辅导员队伍建设工作，强化思想政治和业务能力培训指导。注意培养骨干力量，做到“知人善用”，依靠全体教职工办好青少年宫。</w:t>
      </w:r>
    </w:p>
    <w:p>
      <w:pPr>
        <w:spacing w:line="560" w:lineRule="exact"/>
        <w:ind w:left="643" w:firstLine="640" w:firstLineChars="200"/>
        <w:rPr>
          <w:rFonts w:ascii="仿宋" w:hAnsi="仿宋" w:eastAsia="仿宋" w:cs="仿宋"/>
          <w:sz w:val="32"/>
          <w:szCs w:val="32"/>
        </w:rPr>
      </w:pPr>
      <w:r>
        <w:rPr>
          <w:rFonts w:hint="eastAsia" w:ascii="楷体_GB2312" w:hAnsi="华文仿宋" w:eastAsia="楷体_GB2312" w:cs="宋体"/>
          <w:bCs/>
          <w:color w:val="000000"/>
          <w:kern w:val="0"/>
          <w:sz w:val="32"/>
          <w:szCs w:val="32"/>
        </w:rPr>
        <w:t>（三）</w:t>
      </w:r>
      <w:r>
        <w:rPr>
          <w:rFonts w:hint="eastAsia" w:ascii="仿宋_GB2312" w:hAnsi="华文仿宋" w:eastAsia="仿宋_GB2312" w:cs="宋体"/>
          <w:bCs/>
          <w:color w:val="000000"/>
          <w:kern w:val="0"/>
          <w:sz w:val="32"/>
          <w:szCs w:val="32"/>
        </w:rPr>
        <w:t>重视交流和学习，加强教育研究。加强与各城区学校的联系，积极把青少年宫打造成为学生互动交流的平台，作为学生开展实践教育和体验教育的第二课堂。</w:t>
      </w:r>
    </w:p>
    <w:p>
      <w:pPr>
        <w:ind w:firstLine="646"/>
        <w:rPr>
          <w:rFonts w:ascii="仿宋_GB2312" w:eastAsia="仿宋_GB2312"/>
          <w:sz w:val="32"/>
          <w:szCs w:val="32"/>
        </w:rPr>
      </w:pPr>
      <w:r>
        <w:rPr>
          <w:rFonts w:hint="eastAsia" w:ascii="仿宋_GB2312" w:eastAsia="仿宋_GB2312"/>
          <w:sz w:val="32"/>
          <w:szCs w:val="32"/>
        </w:rPr>
        <w:t>二、决算单位构成</w:t>
      </w:r>
    </w:p>
    <w:p>
      <w:pPr>
        <w:ind w:firstLine="2880" w:firstLineChars="900"/>
        <w:rPr>
          <w:rFonts w:ascii="仿宋" w:hAnsi="仿宋" w:eastAsia="仿宋" w:cs="仿宋"/>
          <w:sz w:val="32"/>
          <w:szCs w:val="32"/>
        </w:rPr>
      </w:pPr>
      <w:r>
        <w:rPr>
          <w:rFonts w:hint="eastAsia" w:ascii="仿宋" w:hAnsi="仿宋" w:eastAsia="仿宋" w:cs="仿宋"/>
          <w:sz w:val="32"/>
          <w:szCs w:val="32"/>
        </w:rPr>
        <w:t>机构和人员情况</w:t>
      </w:r>
    </w:p>
    <w:p>
      <w:pPr>
        <w:ind w:firstLine="2880" w:firstLineChars="900"/>
        <w:rPr>
          <w:rFonts w:ascii="仿宋" w:hAnsi="仿宋" w:eastAsia="仿宋" w:cs="仿宋"/>
          <w:sz w:val="32"/>
          <w:szCs w:val="32"/>
        </w:rPr>
      </w:pPr>
      <w:r>
        <w:rPr>
          <w:rFonts w:hint="eastAsia" w:ascii="仿宋" w:hAnsi="仿宋" w:eastAsia="仿宋" w:cs="仿宋"/>
          <w:sz w:val="32"/>
          <w:szCs w:val="32"/>
        </w:rPr>
        <w:t xml:space="preserve">                         单位：人</w:t>
      </w:r>
    </w:p>
    <w:tbl>
      <w:tblPr>
        <w:tblStyle w:val="5"/>
        <w:tblW w:w="8196" w:type="dxa"/>
        <w:tblInd w:w="57" w:type="dxa"/>
        <w:tblLayout w:type="fixed"/>
        <w:tblCellMar>
          <w:top w:w="15" w:type="dxa"/>
          <w:left w:w="15" w:type="dxa"/>
          <w:bottom w:w="15" w:type="dxa"/>
          <w:right w:w="15" w:type="dxa"/>
        </w:tblCellMar>
      </w:tblPr>
      <w:tblGrid>
        <w:gridCol w:w="2089"/>
        <w:gridCol w:w="2068"/>
        <w:gridCol w:w="803"/>
        <w:gridCol w:w="772"/>
        <w:gridCol w:w="836"/>
        <w:gridCol w:w="846"/>
        <w:gridCol w:w="782"/>
      </w:tblGrid>
      <w:tr>
        <w:trPr>
          <w:trHeight w:val="1090" w:hRule="atLeast"/>
        </w:trPr>
        <w:tc>
          <w:tcPr>
            <w:tcW w:w="2089" w:type="dxa"/>
            <w:tcBorders>
              <w:top w:val="single" w:color="auto" w:sz="4" w:space="0"/>
              <w:left w:val="single" w:color="auto" w:sz="4" w:space="0"/>
              <w:bottom w:val="single" w:color="auto" w:sz="4" w:space="0"/>
              <w:right w:val="single" w:color="auto" w:sz="4" w:space="0"/>
            </w:tcBorders>
            <w:vAlign w:val="center"/>
          </w:tcPr>
          <w:p>
            <w:pPr>
              <w:spacing w:beforeLines="10" w:afterLines="10" w:line="500" w:lineRule="exact"/>
              <w:ind w:right="296" w:rightChars="141"/>
              <w:jc w:val="center"/>
              <w:textAlignment w:val="center"/>
              <w:rPr>
                <w:rFonts w:ascii="仿宋_GB2312" w:hAnsi="仿宋" w:eastAsia="仿宋_GB2312"/>
                <w:szCs w:val="21"/>
              </w:rPr>
            </w:pPr>
            <w:r>
              <w:rPr>
                <w:rFonts w:hint="eastAsia" w:ascii="仿宋_GB2312" w:hAnsi="仿宋" w:eastAsia="仿宋_GB2312"/>
                <w:szCs w:val="21"/>
              </w:rPr>
              <w:t>单位名称</w:t>
            </w:r>
          </w:p>
        </w:tc>
        <w:tc>
          <w:tcPr>
            <w:tcW w:w="2068" w:type="dxa"/>
            <w:tcBorders>
              <w:top w:val="single" w:color="auto" w:sz="4" w:space="0"/>
              <w:left w:val="single" w:color="auto" w:sz="4" w:space="0"/>
              <w:bottom w:val="single" w:color="auto" w:sz="4" w:space="0"/>
              <w:right w:val="single" w:color="auto" w:sz="4" w:space="0"/>
            </w:tcBorders>
            <w:vAlign w:val="center"/>
          </w:tcPr>
          <w:p>
            <w:pPr>
              <w:spacing w:beforeLines="10" w:afterLines="10" w:line="500" w:lineRule="exact"/>
              <w:ind w:right="296" w:rightChars="141"/>
              <w:jc w:val="center"/>
              <w:textAlignment w:val="center"/>
              <w:rPr>
                <w:rFonts w:ascii="仿宋_GB2312" w:hAnsi="仿宋" w:eastAsia="仿宋_GB2312"/>
                <w:szCs w:val="21"/>
              </w:rPr>
            </w:pPr>
            <w:r>
              <w:rPr>
                <w:rFonts w:hint="eastAsia" w:ascii="仿宋_GB2312" w:hAnsi="仿宋" w:eastAsia="仿宋_GB2312"/>
                <w:szCs w:val="21"/>
              </w:rPr>
              <w:t>单位性质</w:t>
            </w:r>
          </w:p>
        </w:tc>
        <w:tc>
          <w:tcPr>
            <w:tcW w:w="803" w:type="dxa"/>
            <w:tcBorders>
              <w:top w:val="single" w:color="auto" w:sz="4" w:space="0"/>
              <w:left w:val="single" w:color="auto" w:sz="4" w:space="0"/>
              <w:bottom w:val="single" w:color="auto" w:sz="4" w:space="0"/>
              <w:right w:val="single" w:color="auto" w:sz="4" w:space="0"/>
            </w:tcBorders>
            <w:vAlign w:val="center"/>
          </w:tcPr>
          <w:p>
            <w:pPr>
              <w:spacing w:beforeLines="10" w:afterLines="10" w:line="500" w:lineRule="exact"/>
              <w:ind w:right="296" w:rightChars="141"/>
              <w:jc w:val="left"/>
              <w:textAlignment w:val="center"/>
              <w:rPr>
                <w:rFonts w:ascii="仿宋_GB2312" w:hAnsi="仿宋" w:eastAsia="仿宋_GB2312"/>
                <w:szCs w:val="21"/>
              </w:rPr>
            </w:pPr>
            <w:r>
              <w:rPr>
                <w:rFonts w:hint="eastAsia" w:ascii="仿宋_GB2312" w:hAnsi="仿宋" w:eastAsia="仿宋_GB2312"/>
                <w:szCs w:val="21"/>
              </w:rPr>
              <w:t>编制人数</w:t>
            </w:r>
          </w:p>
        </w:tc>
        <w:tc>
          <w:tcPr>
            <w:tcW w:w="772" w:type="dxa"/>
            <w:tcBorders>
              <w:top w:val="single" w:color="auto" w:sz="4" w:space="0"/>
              <w:left w:val="single" w:color="auto" w:sz="4" w:space="0"/>
              <w:bottom w:val="single" w:color="auto" w:sz="4" w:space="0"/>
              <w:right w:val="single" w:color="auto" w:sz="4" w:space="0"/>
            </w:tcBorders>
            <w:vAlign w:val="center"/>
          </w:tcPr>
          <w:p>
            <w:pPr>
              <w:spacing w:beforeLines="10" w:afterLines="10" w:line="500" w:lineRule="exact"/>
              <w:ind w:right="296" w:rightChars="141"/>
              <w:jc w:val="center"/>
              <w:textAlignment w:val="center"/>
              <w:rPr>
                <w:rFonts w:ascii="仿宋_GB2312" w:hAnsi="仿宋" w:eastAsia="仿宋_GB2312"/>
                <w:szCs w:val="21"/>
              </w:rPr>
            </w:pPr>
            <w:r>
              <w:rPr>
                <w:rFonts w:hint="eastAsia" w:ascii="仿宋_GB2312" w:hAnsi="仿宋" w:eastAsia="仿宋_GB2312"/>
                <w:szCs w:val="21"/>
              </w:rPr>
              <w:t>实有人数</w:t>
            </w:r>
          </w:p>
        </w:tc>
        <w:tc>
          <w:tcPr>
            <w:tcW w:w="836" w:type="dxa"/>
            <w:tcBorders>
              <w:top w:val="single" w:color="auto" w:sz="4" w:space="0"/>
              <w:left w:val="single" w:color="auto" w:sz="4" w:space="0"/>
              <w:bottom w:val="single" w:color="auto" w:sz="4" w:space="0"/>
              <w:right w:val="single" w:color="auto" w:sz="4" w:space="0"/>
            </w:tcBorders>
            <w:vAlign w:val="center"/>
          </w:tcPr>
          <w:p>
            <w:pPr>
              <w:spacing w:beforeLines="10" w:afterLines="10" w:line="500" w:lineRule="exact"/>
              <w:ind w:right="296" w:rightChars="141"/>
              <w:jc w:val="center"/>
              <w:textAlignment w:val="center"/>
              <w:rPr>
                <w:rFonts w:ascii="仿宋_GB2312" w:hAnsi="仿宋" w:eastAsia="仿宋_GB2312"/>
                <w:szCs w:val="21"/>
              </w:rPr>
            </w:pPr>
            <w:r>
              <w:rPr>
                <w:rFonts w:hint="eastAsia" w:ascii="仿宋_GB2312" w:hAnsi="仿宋" w:eastAsia="仿宋_GB2312"/>
                <w:szCs w:val="21"/>
              </w:rPr>
              <w:t>离休人员</w:t>
            </w:r>
          </w:p>
        </w:tc>
        <w:tc>
          <w:tcPr>
            <w:tcW w:w="846" w:type="dxa"/>
            <w:tcBorders>
              <w:top w:val="single" w:color="auto" w:sz="4" w:space="0"/>
              <w:left w:val="single" w:color="auto" w:sz="4" w:space="0"/>
              <w:bottom w:val="single" w:color="auto" w:sz="4" w:space="0"/>
              <w:right w:val="single" w:color="auto" w:sz="4" w:space="0"/>
            </w:tcBorders>
            <w:vAlign w:val="center"/>
          </w:tcPr>
          <w:p>
            <w:pPr>
              <w:spacing w:beforeLines="10" w:afterLines="10" w:line="500" w:lineRule="exact"/>
              <w:ind w:right="296" w:rightChars="141"/>
              <w:jc w:val="center"/>
              <w:textAlignment w:val="center"/>
              <w:rPr>
                <w:rFonts w:ascii="仿宋_GB2312" w:hAnsi="仿宋" w:eastAsia="仿宋_GB2312"/>
                <w:szCs w:val="21"/>
              </w:rPr>
            </w:pPr>
            <w:r>
              <w:rPr>
                <w:rFonts w:hint="eastAsia" w:ascii="仿宋_GB2312" w:hAnsi="仿宋" w:eastAsia="仿宋_GB2312"/>
                <w:szCs w:val="21"/>
              </w:rPr>
              <w:t>退休人员</w:t>
            </w:r>
          </w:p>
        </w:tc>
        <w:tc>
          <w:tcPr>
            <w:tcW w:w="782" w:type="dxa"/>
            <w:tcBorders>
              <w:top w:val="single" w:color="auto" w:sz="4" w:space="0"/>
              <w:left w:val="single" w:color="auto" w:sz="4" w:space="0"/>
              <w:bottom w:val="single" w:color="auto" w:sz="4" w:space="0"/>
              <w:right w:val="single" w:color="auto" w:sz="4" w:space="0"/>
            </w:tcBorders>
            <w:vAlign w:val="center"/>
          </w:tcPr>
          <w:p>
            <w:pPr>
              <w:spacing w:beforeLines="10" w:afterLines="10" w:line="500" w:lineRule="exact"/>
              <w:ind w:right="296" w:rightChars="141"/>
              <w:jc w:val="left"/>
              <w:textAlignment w:val="center"/>
              <w:rPr>
                <w:rFonts w:ascii="仿宋_GB2312" w:hAnsi="仿宋" w:eastAsia="仿宋_GB2312"/>
                <w:szCs w:val="21"/>
              </w:rPr>
            </w:pPr>
            <w:r>
              <w:rPr>
                <w:rFonts w:hint="eastAsia" w:ascii="仿宋_GB2312" w:hAnsi="仿宋" w:eastAsia="仿宋_GB2312"/>
                <w:szCs w:val="21"/>
              </w:rPr>
              <w:t>聘用人员</w:t>
            </w:r>
          </w:p>
        </w:tc>
      </w:tr>
      <w:tr>
        <w:tblPrEx>
          <w:tblCellMar>
            <w:top w:w="15" w:type="dxa"/>
            <w:left w:w="15" w:type="dxa"/>
            <w:bottom w:w="15" w:type="dxa"/>
            <w:right w:w="15" w:type="dxa"/>
          </w:tblCellMar>
        </w:tblPrEx>
        <w:trPr>
          <w:trHeight w:val="728" w:hRule="atLeast"/>
        </w:trPr>
        <w:tc>
          <w:tcPr>
            <w:tcW w:w="2089" w:type="dxa"/>
            <w:tcBorders>
              <w:top w:val="single" w:color="auto" w:sz="4" w:space="0"/>
              <w:left w:val="single" w:color="auto" w:sz="4" w:space="0"/>
              <w:bottom w:val="single" w:color="auto" w:sz="4" w:space="0"/>
              <w:right w:val="single" w:color="auto" w:sz="4" w:space="0"/>
            </w:tcBorders>
            <w:vAlign w:val="center"/>
          </w:tcPr>
          <w:p>
            <w:pPr>
              <w:widowControl/>
              <w:ind w:right="296" w:rightChars="141"/>
              <w:jc w:val="center"/>
              <w:textAlignment w:val="center"/>
              <w:rPr>
                <w:rFonts w:ascii="仿宋_GB2312" w:hAnsi="仿宋" w:eastAsia="仿宋_GB2312"/>
                <w:szCs w:val="21"/>
              </w:rPr>
            </w:pPr>
            <w:r>
              <w:rPr>
                <w:rFonts w:hint="eastAsia" w:ascii="仿宋_GB2312" w:hAnsi="仿宋" w:eastAsia="仿宋_GB2312"/>
                <w:szCs w:val="21"/>
              </w:rPr>
              <w:t>柳州市青少年宫</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ind w:right="296" w:rightChars="141"/>
              <w:jc w:val="left"/>
              <w:textAlignment w:val="center"/>
              <w:rPr>
                <w:rFonts w:ascii="仿宋_GB2312" w:hAnsi="仿宋" w:eastAsia="仿宋_GB2312"/>
                <w:szCs w:val="21"/>
              </w:rPr>
            </w:pPr>
            <w:r>
              <w:rPr>
                <w:rFonts w:hint="eastAsia" w:ascii="仿宋_GB2312" w:hAnsi="仿宋" w:eastAsia="仿宋_GB2312"/>
                <w:szCs w:val="21"/>
              </w:rPr>
              <w:t>全额拨款事业单位</w:t>
            </w:r>
          </w:p>
        </w:tc>
        <w:tc>
          <w:tcPr>
            <w:tcW w:w="803" w:type="dxa"/>
            <w:tcBorders>
              <w:top w:val="single" w:color="auto" w:sz="4" w:space="0"/>
              <w:left w:val="single" w:color="auto" w:sz="4" w:space="0"/>
              <w:bottom w:val="single" w:color="auto" w:sz="4" w:space="0"/>
              <w:right w:val="single" w:color="auto" w:sz="4" w:space="0"/>
            </w:tcBorders>
            <w:vAlign w:val="center"/>
          </w:tcPr>
          <w:p>
            <w:pPr>
              <w:widowControl/>
              <w:ind w:right="296" w:rightChars="141" w:firstLine="210" w:firstLineChars="100"/>
              <w:textAlignment w:val="center"/>
              <w:rPr>
                <w:rFonts w:ascii="仿宋_GB2312" w:hAnsi="仿宋" w:eastAsia="仿宋_GB2312"/>
                <w:szCs w:val="21"/>
              </w:rPr>
            </w:pPr>
            <w:r>
              <w:rPr>
                <w:rFonts w:hint="eastAsia" w:ascii="仿宋_GB2312" w:hAnsi="仿宋" w:eastAsia="仿宋_GB2312"/>
                <w:szCs w:val="21"/>
              </w:rPr>
              <w:t>20</w:t>
            </w:r>
          </w:p>
        </w:tc>
        <w:tc>
          <w:tcPr>
            <w:tcW w:w="772" w:type="dxa"/>
            <w:tcBorders>
              <w:top w:val="single" w:color="auto" w:sz="4" w:space="0"/>
              <w:left w:val="single" w:color="auto" w:sz="4" w:space="0"/>
              <w:bottom w:val="single" w:color="auto" w:sz="4" w:space="0"/>
              <w:right w:val="single" w:color="auto" w:sz="4" w:space="0"/>
            </w:tcBorders>
            <w:vAlign w:val="center"/>
          </w:tcPr>
          <w:p>
            <w:pPr>
              <w:widowControl/>
              <w:ind w:right="296" w:rightChars="141" w:firstLine="210" w:firstLineChars="100"/>
              <w:jc w:val="left"/>
              <w:textAlignment w:val="center"/>
              <w:rPr>
                <w:rFonts w:ascii="仿宋_GB2312" w:hAnsi="仿宋" w:eastAsia="仿宋_GB2312"/>
                <w:szCs w:val="21"/>
              </w:rPr>
            </w:pPr>
            <w:r>
              <w:rPr>
                <w:rFonts w:hint="eastAsia" w:ascii="仿宋_GB2312" w:hAnsi="仿宋" w:eastAsia="仿宋_GB2312"/>
                <w:szCs w:val="21"/>
              </w:rPr>
              <w:t>18</w:t>
            </w:r>
          </w:p>
        </w:tc>
        <w:tc>
          <w:tcPr>
            <w:tcW w:w="836" w:type="dxa"/>
            <w:tcBorders>
              <w:top w:val="single" w:color="auto" w:sz="4" w:space="0"/>
              <w:left w:val="single" w:color="auto" w:sz="4" w:space="0"/>
              <w:bottom w:val="single" w:color="auto" w:sz="4" w:space="0"/>
              <w:right w:val="single" w:color="auto" w:sz="4" w:space="0"/>
            </w:tcBorders>
            <w:vAlign w:val="center"/>
          </w:tcPr>
          <w:p>
            <w:pPr>
              <w:widowControl/>
              <w:ind w:right="296" w:rightChars="141" w:firstLine="420" w:firstLineChars="200"/>
              <w:jc w:val="left"/>
              <w:textAlignment w:val="center"/>
              <w:rPr>
                <w:rFonts w:ascii="仿宋_GB2312" w:hAnsi="仿宋" w:eastAsia="仿宋_GB2312"/>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widowControl/>
              <w:ind w:right="296" w:rightChars="141" w:firstLine="210" w:firstLineChars="100"/>
              <w:jc w:val="left"/>
              <w:textAlignment w:val="center"/>
              <w:rPr>
                <w:rFonts w:ascii="仿宋_GB2312" w:hAnsi="仿宋" w:eastAsia="仿宋_GB2312"/>
                <w:szCs w:val="21"/>
              </w:rPr>
            </w:pPr>
            <w:r>
              <w:rPr>
                <w:rFonts w:hint="eastAsia" w:ascii="仿宋_GB2312" w:hAnsi="仿宋" w:eastAsia="仿宋_GB2312"/>
                <w:szCs w:val="21"/>
              </w:rPr>
              <w:t>13</w:t>
            </w:r>
          </w:p>
        </w:tc>
        <w:tc>
          <w:tcPr>
            <w:tcW w:w="782" w:type="dxa"/>
            <w:tcBorders>
              <w:top w:val="single" w:color="auto" w:sz="4" w:space="0"/>
              <w:left w:val="single" w:color="auto" w:sz="4" w:space="0"/>
              <w:bottom w:val="single" w:color="auto" w:sz="4" w:space="0"/>
              <w:right w:val="single" w:color="auto" w:sz="4" w:space="0"/>
            </w:tcBorders>
            <w:vAlign w:val="center"/>
          </w:tcPr>
          <w:p>
            <w:pPr>
              <w:widowControl/>
              <w:ind w:right="296" w:rightChars="141" w:firstLine="420" w:firstLineChars="200"/>
              <w:jc w:val="left"/>
              <w:textAlignment w:val="center"/>
              <w:rPr>
                <w:rFonts w:ascii="仿宋_GB2312" w:hAnsi="仿宋" w:eastAsia="仿宋_GB2312"/>
                <w:szCs w:val="21"/>
              </w:rPr>
            </w:pPr>
            <w:r>
              <w:rPr>
                <w:rFonts w:hint="eastAsia" w:ascii="仿宋_GB2312" w:hAnsi="仿宋" w:eastAsia="仿宋_GB2312"/>
                <w:szCs w:val="21"/>
              </w:rPr>
              <w:t>8</w:t>
            </w:r>
          </w:p>
        </w:tc>
      </w:tr>
    </w:tbl>
    <w:p>
      <w:pPr>
        <w:jc w:val="center"/>
      </w:pPr>
    </w:p>
    <w:p/>
    <w:p>
      <w:pPr>
        <w:jc w:val="center"/>
        <w:rPr>
          <w:rFonts w:ascii="仿宋_GB2312" w:hAnsi="黑体" w:eastAsia="仿宋_GB2312"/>
          <w:sz w:val="32"/>
          <w:szCs w:val="32"/>
        </w:rPr>
      </w:pPr>
      <w:r>
        <w:rPr>
          <w:rFonts w:hint="eastAsia" w:ascii="仿宋_GB2312" w:eastAsia="仿宋_GB2312"/>
          <w:b/>
          <w:sz w:val="32"/>
          <w:szCs w:val="32"/>
        </w:rPr>
        <w:t>第二部分：</w:t>
      </w:r>
      <w:r>
        <w:rPr>
          <w:rFonts w:hint="eastAsia" w:ascii="仿宋_GB2312" w:hAnsi="黑体" w:eastAsia="仿宋_GB2312"/>
          <w:b/>
          <w:bCs/>
          <w:color w:val="000000"/>
          <w:sz w:val="32"/>
          <w:szCs w:val="32"/>
        </w:rPr>
        <w:t>柳州市青少年宫</w:t>
      </w:r>
      <w:r>
        <w:rPr>
          <w:rFonts w:hint="eastAsia" w:ascii="仿宋_GB2312" w:eastAsia="仿宋_GB2312"/>
          <w:b/>
          <w:sz w:val="32"/>
          <w:szCs w:val="32"/>
        </w:rPr>
        <w:t>2020年决算报表</w:t>
      </w:r>
    </w:p>
    <w:p>
      <w:pPr>
        <w:ind w:firstLine="3520" w:firstLineChars="1100"/>
        <w:jc w:val="both"/>
        <w:rPr>
          <w:rFonts w:ascii="仿宋_GB2312" w:hAnsi="黑体" w:eastAsia="仿宋_GB2312"/>
          <w:sz w:val="32"/>
          <w:szCs w:val="32"/>
        </w:rPr>
      </w:pPr>
      <w:r>
        <w:rPr>
          <w:rFonts w:hint="eastAsia" w:ascii="仿宋_GB2312" w:hAnsi="黑体" w:eastAsia="仿宋_GB2312"/>
          <w:sz w:val="32"/>
          <w:szCs w:val="32"/>
        </w:rPr>
        <w:t>详见附件</w:t>
      </w:r>
    </w:p>
    <w:p/>
    <w:p>
      <w:pPr>
        <w:spacing w:line="580" w:lineRule="exact"/>
        <w:jc w:val="center"/>
        <w:rPr>
          <w:rFonts w:ascii="仿宋_GB2312" w:eastAsia="仿宋_GB2312"/>
          <w:b/>
          <w:sz w:val="32"/>
          <w:szCs w:val="32"/>
        </w:rPr>
      </w:pPr>
      <w:r>
        <w:rPr>
          <w:rFonts w:hint="eastAsia" w:ascii="仿宋_GB2312" w:eastAsia="仿宋_GB2312"/>
          <w:b/>
          <w:sz w:val="32"/>
          <w:szCs w:val="32"/>
        </w:rPr>
        <w:t>第三部分：</w:t>
      </w:r>
      <w:r>
        <w:rPr>
          <w:rFonts w:hint="eastAsia" w:ascii="仿宋_GB2312" w:hAnsi="黑体" w:eastAsia="仿宋_GB2312"/>
          <w:b/>
          <w:bCs/>
          <w:color w:val="000000"/>
          <w:sz w:val="32"/>
          <w:szCs w:val="32"/>
        </w:rPr>
        <w:t>柳州市青少年宫</w:t>
      </w:r>
      <w:r>
        <w:rPr>
          <w:rFonts w:hint="eastAsia" w:ascii="仿宋_GB2312" w:eastAsia="仿宋_GB2312"/>
          <w:b/>
          <w:sz w:val="32"/>
          <w:szCs w:val="32"/>
        </w:rPr>
        <w:t>2020年度决算情况说明</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一、</w:t>
      </w:r>
      <w:r>
        <w:rPr>
          <w:rFonts w:hint="eastAsia" w:eastAsia="仿宋_GB2312"/>
          <w:b/>
          <w:kern w:val="0"/>
          <w:sz w:val="32"/>
          <w:szCs w:val="32"/>
        </w:rPr>
        <w:t>2020</w:t>
      </w:r>
      <w:r>
        <w:rPr>
          <w:rFonts w:hint="eastAsia" w:ascii="仿宋_GB2312" w:eastAsia="仿宋_GB2312" w:cs="仿宋_GB2312"/>
          <w:b/>
          <w:kern w:val="0"/>
          <w:sz w:val="32"/>
          <w:szCs w:val="32"/>
        </w:rPr>
        <w:t>年度收入支出决算总体情况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hAnsi="仿宋" w:eastAsia="仿宋_GB2312"/>
          <w:sz w:val="32"/>
          <w:szCs w:val="32"/>
        </w:rPr>
        <w:t>2020年度收入总计676.20万元，支出总计676.20万元，与2019年相比，收、支减少2.75万元，减少0.41%。</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二、</w:t>
      </w:r>
      <w:r>
        <w:rPr>
          <w:rFonts w:hint="eastAsia" w:eastAsia="仿宋_GB2312"/>
          <w:b/>
          <w:kern w:val="0"/>
          <w:sz w:val="32"/>
          <w:szCs w:val="32"/>
        </w:rPr>
        <w:t>2020</w:t>
      </w:r>
      <w:r>
        <w:rPr>
          <w:rFonts w:hint="eastAsia" w:ascii="仿宋_GB2312" w:eastAsia="仿宋_GB2312" w:cs="仿宋_GB2312"/>
          <w:b/>
          <w:kern w:val="0"/>
          <w:sz w:val="32"/>
          <w:szCs w:val="32"/>
        </w:rPr>
        <w:t>年度收入决算情况</w:t>
      </w:r>
    </w:p>
    <w:p>
      <w:pPr>
        <w:autoSpaceDE w:val="0"/>
        <w:autoSpaceDN w:val="0"/>
        <w:adjustRightInd w:val="0"/>
        <w:spacing w:line="560" w:lineRule="exact"/>
        <w:ind w:firstLine="640" w:firstLineChars="200"/>
        <w:jc w:val="left"/>
        <w:rPr>
          <w:rFonts w:ascii="仿宋_GB2312" w:eastAsia="仿宋_GB2312" w:cs="仿宋_GB2312"/>
          <w:b/>
          <w:kern w:val="0"/>
          <w:sz w:val="32"/>
          <w:szCs w:val="32"/>
        </w:rPr>
      </w:pPr>
      <w:r>
        <w:rPr>
          <w:rFonts w:hint="eastAsia" w:ascii="仿宋_GB2312" w:eastAsia="仿宋_GB2312" w:cs="仿宋_GB2312"/>
          <w:bCs/>
          <w:kern w:val="0"/>
          <w:sz w:val="32"/>
          <w:szCs w:val="32"/>
        </w:rPr>
        <w:t>本年收入总计676.20万元 ，其中：一般公共预算财政拨款收入</w:t>
      </w:r>
      <w:r>
        <w:rPr>
          <w:rFonts w:hint="eastAsia" w:ascii="仿宋_GB2312" w:eastAsia="仿宋_GB2312"/>
          <w:sz w:val="32"/>
          <w:szCs w:val="32"/>
        </w:rPr>
        <w:t>563.04万元</w:t>
      </w:r>
      <w:r>
        <w:rPr>
          <w:rFonts w:hint="eastAsia" w:ascii="仿宋_GB2312" w:eastAsia="仿宋_GB2312" w:cs="仿宋_GB2312"/>
          <w:bCs/>
          <w:kern w:val="0"/>
          <w:sz w:val="32"/>
          <w:szCs w:val="32"/>
        </w:rPr>
        <w:t>万元；占比83.26%；年初结转结余113.17万元；占比16.74%。</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三、</w:t>
      </w:r>
      <w:r>
        <w:rPr>
          <w:rFonts w:hint="eastAsia" w:eastAsia="仿宋_GB2312"/>
          <w:b/>
          <w:kern w:val="0"/>
          <w:sz w:val="32"/>
          <w:szCs w:val="32"/>
        </w:rPr>
        <w:t>2020</w:t>
      </w:r>
      <w:r>
        <w:rPr>
          <w:rFonts w:hint="eastAsia" w:ascii="仿宋_GB2312" w:eastAsia="仿宋_GB2312" w:cs="仿宋_GB2312"/>
          <w:b/>
          <w:kern w:val="0"/>
          <w:sz w:val="32"/>
          <w:szCs w:val="32"/>
        </w:rPr>
        <w:t>年度支出决算情况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本年支出合计635.45万元，其中：基本支出</w:t>
      </w:r>
      <w:r>
        <w:rPr>
          <w:rFonts w:hint="eastAsia" w:ascii="仿宋_GB2312" w:eastAsia="仿宋_GB2312"/>
          <w:sz w:val="32"/>
          <w:szCs w:val="32"/>
        </w:rPr>
        <w:t>326.55</w:t>
      </w:r>
      <w:r>
        <w:rPr>
          <w:rFonts w:hint="eastAsia" w:ascii="仿宋_GB2312" w:eastAsia="仿宋_GB2312" w:cs="仿宋_GB2312"/>
          <w:bCs/>
          <w:kern w:val="0"/>
          <w:sz w:val="32"/>
          <w:szCs w:val="32"/>
        </w:rPr>
        <w:t>万元，占51.39%；项目支出</w:t>
      </w:r>
      <w:r>
        <w:rPr>
          <w:rFonts w:hint="eastAsia" w:ascii="仿宋_GB2312" w:eastAsia="仿宋_GB2312"/>
          <w:sz w:val="32"/>
          <w:szCs w:val="32"/>
        </w:rPr>
        <w:t>308.90</w:t>
      </w:r>
      <w:r>
        <w:rPr>
          <w:rFonts w:hint="eastAsia" w:ascii="仿宋_GB2312" w:eastAsia="仿宋_GB2312" w:cs="仿宋_GB2312"/>
          <w:bCs/>
          <w:kern w:val="0"/>
          <w:sz w:val="32"/>
          <w:szCs w:val="32"/>
        </w:rPr>
        <w:t>万元，占48.61%</w:t>
      </w:r>
      <w:r>
        <w:rPr>
          <w:rFonts w:hint="eastAsia" w:ascii="仿宋_GB2312" w:eastAsia="仿宋_GB2312"/>
          <w:sz w:val="32"/>
          <w:szCs w:val="32"/>
        </w:rPr>
        <w:t>。</w:t>
      </w:r>
    </w:p>
    <w:p>
      <w:pPr>
        <w:autoSpaceDE w:val="0"/>
        <w:autoSpaceDN w:val="0"/>
        <w:adjustRightInd w:val="0"/>
        <w:spacing w:line="580" w:lineRule="exact"/>
        <w:ind w:firstLine="643" w:firstLineChars="200"/>
        <w:jc w:val="left"/>
        <w:rPr>
          <w:rFonts w:hint="eastAsia" w:ascii="仿宋_GB2312" w:eastAsia="仿宋_GB2312" w:cs="仿宋_GB2312"/>
          <w:bCs/>
          <w:kern w:val="0"/>
          <w:sz w:val="32"/>
          <w:szCs w:val="32"/>
          <w:lang w:val="en-US" w:eastAsia="zh-CN"/>
        </w:rPr>
      </w:pPr>
      <w:r>
        <w:rPr>
          <w:rFonts w:hint="eastAsia" w:ascii="仿宋_GB2312" w:eastAsia="仿宋_GB2312" w:cs="仿宋_GB2312"/>
          <w:b/>
          <w:kern w:val="0"/>
          <w:sz w:val="32"/>
          <w:szCs w:val="32"/>
        </w:rPr>
        <w:t>四、</w:t>
      </w:r>
      <w:r>
        <w:rPr>
          <w:rFonts w:hint="eastAsia" w:eastAsia="仿宋_GB2312"/>
          <w:b/>
          <w:kern w:val="0"/>
          <w:sz w:val="32"/>
          <w:szCs w:val="32"/>
        </w:rPr>
        <w:t>2020</w:t>
      </w:r>
      <w:r>
        <w:rPr>
          <w:rFonts w:hint="eastAsia" w:ascii="仿宋_GB2312" w:eastAsia="仿宋_GB2312" w:cs="仿宋_GB2312"/>
          <w:b/>
          <w:kern w:val="0"/>
          <w:sz w:val="32"/>
          <w:szCs w:val="32"/>
        </w:rPr>
        <w:t>年度财政拨款收入支出决算情况</w:t>
      </w:r>
    </w:p>
    <w:p>
      <w:pPr>
        <w:autoSpaceDE w:val="0"/>
        <w:autoSpaceDN w:val="0"/>
        <w:adjustRightInd w:val="0"/>
        <w:spacing w:line="580" w:lineRule="exact"/>
        <w:ind w:firstLine="640" w:firstLineChars="200"/>
        <w:jc w:val="both"/>
        <w:rPr>
          <w:rFonts w:ascii="仿宋_GB2312" w:eastAsia="仿宋_GB2312" w:cs="仿宋_GB2312"/>
          <w:bCs/>
          <w:kern w:val="0"/>
          <w:sz w:val="32"/>
          <w:szCs w:val="32"/>
        </w:rPr>
      </w:pPr>
      <w:r>
        <w:rPr>
          <w:rFonts w:hint="eastAsia" w:ascii="仿宋_GB2312" w:eastAsia="仿宋_GB2312" w:cs="仿宋_GB2312"/>
          <w:bCs/>
          <w:kern w:val="0"/>
          <w:sz w:val="32"/>
          <w:szCs w:val="32"/>
        </w:rPr>
        <w:t>本</w:t>
      </w: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2020年度财政拨款收、支总决算642.06万元、642.06万元。与 2019 年相比，财政拨款收、支总计减少4.65万元，减少7.24%。</w:t>
      </w:r>
    </w:p>
    <w:p>
      <w:pPr>
        <w:autoSpaceDE w:val="0"/>
        <w:autoSpaceDN w:val="0"/>
        <w:adjustRightInd w:val="0"/>
        <w:spacing w:line="580" w:lineRule="exact"/>
        <w:ind w:firstLine="643" w:firstLineChars="200"/>
        <w:jc w:val="left"/>
        <w:rPr>
          <w:rFonts w:eastAsia="仿宋_GB2312"/>
          <w:b/>
          <w:kern w:val="0"/>
          <w:sz w:val="32"/>
          <w:szCs w:val="32"/>
        </w:rPr>
      </w:pPr>
      <w:r>
        <w:rPr>
          <w:rFonts w:hint="eastAsia" w:ascii="仿宋_GB2312" w:eastAsia="仿宋_GB2312" w:cs="仿宋_GB2312"/>
          <w:b/>
          <w:kern w:val="0"/>
          <w:sz w:val="32"/>
          <w:szCs w:val="32"/>
        </w:rPr>
        <w:t>五、</w:t>
      </w:r>
      <w:r>
        <w:rPr>
          <w:rFonts w:hint="eastAsia" w:eastAsia="仿宋_GB2312"/>
          <w:b/>
          <w:kern w:val="0"/>
          <w:sz w:val="32"/>
          <w:szCs w:val="32"/>
        </w:rPr>
        <w:t>2020年度一般公共预算财政拨款支出决算情况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（一）财政拨款支出决算情况。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2020年度财政拨款支出620.51万元，占本年支出合计的96.64%。与2019年相比，财政拨款支出增加68.02万元，增长10.96%。</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（二）财政拨款支出决算结构情况</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2020年度财政拨款支出620.51万元，主要用于以下方面：一般公共服务（类）支出538.09万元，占86.73%；社会保障和就业（类）支出46.71万元，占7.52%；卫生健康（类）支出10.33万元，占1.66%； 住房保障（类）支出25.39万元，占4.09%。</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（三）财政拨款支出决算具体情况</w:t>
      </w:r>
    </w:p>
    <w:p>
      <w:pPr>
        <w:autoSpaceDE w:val="0"/>
        <w:autoSpaceDN w:val="0"/>
        <w:adjustRightInd w:val="0"/>
        <w:spacing w:line="580" w:lineRule="exact"/>
        <w:ind w:firstLine="640" w:firstLineChars="200"/>
        <w:jc w:val="left"/>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rPr>
        <w:t xml:space="preserve">2020年度财政拨款支出年初预算为557.26万元，支出决算为620.51万元，完成年初预算的111.35%。决算数大于预算数的主要原因：一是年中追加安排财政拨款支出预算，二是部分支出按规定，通过使用以前年度财政拨款结转资金解决。其中： </w:t>
      </w:r>
      <w:r>
        <w:rPr>
          <w:rFonts w:hint="eastAsia" w:ascii="仿宋_GB2312" w:eastAsia="仿宋_GB2312" w:cs="仿宋_GB2312"/>
          <w:bCs/>
          <w:kern w:val="0"/>
          <w:sz w:val="32"/>
          <w:szCs w:val="32"/>
          <w:lang w:val="en-US" w:eastAsia="zh-CN"/>
        </w:rPr>
        <w:t xml:space="preserve"> </w:t>
      </w:r>
    </w:p>
    <w:p>
      <w:pPr>
        <w:numPr>
          <w:ilvl w:val="0"/>
          <w:numId w:val="1"/>
        </w:numPr>
        <w:spacing w:line="54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一般公共服务（类）群众团体事务（款）事业运行（项）。 年初预算为199.48万元，支出决算为220.48万元，完成年初预算的110.53%。决算数大于预算数的主要原因是绩效工资总量和人员经费的增加、伙食补贴发放和上年度结转资金使用等。</w:t>
      </w:r>
    </w:p>
    <w:p>
      <w:pPr>
        <w:numPr>
          <w:ilvl w:val="0"/>
          <w:numId w:val="0"/>
        </w:numPr>
        <w:spacing w:line="540" w:lineRule="exact"/>
        <w:ind w:firstLine="640" w:firstLineChars="200"/>
        <w:rPr>
          <w:rFonts w:hint="eastAsia" w:ascii="仿宋_GB2312" w:eastAsia="仿宋_GB2312" w:cs="仿宋_GB2312"/>
          <w:bCs/>
          <w:kern w:val="0"/>
          <w:sz w:val="32"/>
          <w:szCs w:val="32"/>
          <w:lang w:val="en-US" w:eastAsia="zh-CN"/>
        </w:rPr>
      </w:pPr>
      <w:r>
        <w:rPr>
          <w:rFonts w:hint="eastAsia" w:ascii="仿宋_GB2312" w:eastAsia="仿宋_GB2312" w:cs="仿宋_GB2312"/>
          <w:bCs/>
          <w:kern w:val="0"/>
          <w:sz w:val="32"/>
          <w:szCs w:val="32"/>
          <w:lang w:val="en-US" w:eastAsia="zh-CN"/>
        </w:rPr>
        <w:t xml:space="preserve">2. </w:t>
      </w:r>
      <w:r>
        <w:rPr>
          <w:rFonts w:hint="eastAsia" w:ascii="仿宋_GB2312" w:eastAsia="仿宋_GB2312" w:cs="仿宋_GB2312"/>
          <w:bCs/>
          <w:kern w:val="0"/>
          <w:sz w:val="32"/>
          <w:szCs w:val="32"/>
        </w:rPr>
        <w:t>一般公共服务（类）群众团体事务（款）其他群众团体事务支出（项）。年初预算为275.71万元，支出决算为303.37万元，完成年初预算的110.03%。决算数大于预算数的主要原因是研学、教学宣传制作和推广费用增加，上年度结转资金使用等</w:t>
      </w:r>
      <w:r>
        <w:rPr>
          <w:rFonts w:hint="eastAsia" w:ascii="仿宋_GB2312" w:eastAsia="仿宋_GB2312" w:cs="仿宋_GB2312"/>
          <w:bCs/>
          <w:kern w:val="0"/>
          <w:sz w:val="32"/>
          <w:szCs w:val="32"/>
          <w:lang w:val="en-US" w:eastAsia="zh-CN"/>
        </w:rPr>
        <w:t>.</w:t>
      </w:r>
    </w:p>
    <w:p>
      <w:pPr>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3. 社会保障和就业支出（类）行政事业单位养老支出（款）行政单位离退休（项）。年初预算为0万元，支出决算为3万元，完成年初预算的100%。决算数大于预算数的主要原因是2020年度新增退休人员。</w:t>
      </w:r>
    </w:p>
    <w:p>
      <w:pPr>
        <w:spacing w:line="560" w:lineRule="exact"/>
        <w:ind w:firstLine="640" w:firstLineChars="200"/>
        <w:rPr>
          <w:rFonts w:ascii="仿宋_GB2312" w:eastAsia="仿宋_GB2312" w:cs="仿宋_GB2312"/>
          <w:bCs/>
          <w:kern w:val="0"/>
          <w:sz w:val="32"/>
          <w:szCs w:val="32"/>
        </w:rPr>
      </w:pPr>
      <w:r>
        <w:rPr>
          <w:rFonts w:hint="eastAsia" w:ascii="仿宋_GB2312" w:eastAsia="仿宋_GB2312" w:cs="仿宋_GB2312"/>
          <w:bCs/>
          <w:kern w:val="0"/>
          <w:sz w:val="32"/>
          <w:szCs w:val="32"/>
        </w:rPr>
        <w:t>4. 社会保障和就业支出（类）行政事业单位养老支出（款)事业单位离退休（项）。年初预算为9.27万元，支出决算为9.27万元，完成年初预算的100%。决算数与预算数持平。</w:t>
      </w:r>
    </w:p>
    <w:p>
      <w:pPr>
        <w:ind w:firstLine="640" w:firstLineChars="200"/>
        <w:rPr>
          <w:rFonts w:ascii="仿宋" w:hAnsi="仿宋" w:eastAsia="仿宋" w:cs="仿宋"/>
          <w:sz w:val="30"/>
          <w:szCs w:val="30"/>
        </w:rPr>
      </w:pPr>
      <w:r>
        <w:rPr>
          <w:rFonts w:hint="eastAsia" w:ascii="仿宋_GB2312" w:eastAsia="仿宋_GB2312" w:cs="仿宋_GB2312"/>
          <w:bCs/>
          <w:kern w:val="0"/>
          <w:sz w:val="32"/>
          <w:szCs w:val="32"/>
        </w:rPr>
        <w:t>5. 社会保障和就业支出（类）行政事业单位养老支出（款）机关事业单位基本养老保险缴费支出（项）。年初预算为</w:t>
      </w:r>
      <w:r>
        <w:rPr>
          <w:rFonts w:hint="eastAsia" w:ascii="仿宋_GB2312" w:hAnsi="华文仿宋" w:eastAsia="仿宋_GB2312"/>
          <w:bCs/>
          <w:sz w:val="32"/>
          <w:szCs w:val="32"/>
        </w:rPr>
        <w:t>26.74</w:t>
      </w:r>
      <w:r>
        <w:rPr>
          <w:rFonts w:hint="eastAsia" w:ascii="仿宋_GB2312" w:eastAsia="仿宋_GB2312" w:cs="仿宋_GB2312"/>
          <w:bCs/>
          <w:kern w:val="0"/>
          <w:sz w:val="32"/>
          <w:szCs w:val="32"/>
        </w:rPr>
        <w:t>万元，支出决算为23.09万元，完成年初预算的86.35%。决算数小于预算数的主要原因是退休人员增加造成基本养老保险费用减少。</w:t>
      </w:r>
    </w:p>
    <w:p>
      <w:pPr>
        <w:ind w:firstLine="640" w:firstLineChars="200"/>
        <w:rPr>
          <w:rFonts w:ascii="仿宋" w:hAnsi="仿宋" w:eastAsia="仿宋" w:cs="仿宋"/>
          <w:sz w:val="30"/>
          <w:szCs w:val="30"/>
        </w:rPr>
      </w:pPr>
      <w:r>
        <w:rPr>
          <w:rFonts w:hint="eastAsia" w:ascii="仿宋_GB2312" w:eastAsia="仿宋_GB2312" w:cs="仿宋_GB2312"/>
          <w:bCs/>
          <w:kern w:val="0"/>
          <w:sz w:val="32"/>
          <w:szCs w:val="32"/>
        </w:rPr>
        <w:t>6. 社会保障和就业支出（类）行政事业单位养老支出（款）机关事业单位职业年金缴费支出（项）。年初预算为13.37万元，支出决算为11.34万元，完成年初预算的84.82%。决算数小于预算数的主要原因是退休人员增加造成职业年金费用减少。</w:t>
      </w:r>
    </w:p>
    <w:p>
      <w:pPr>
        <w:ind w:firstLine="640" w:firstLineChars="200"/>
        <w:rPr>
          <w:rFonts w:ascii="仿宋" w:hAnsi="仿宋" w:eastAsia="仿宋" w:cs="仿宋"/>
          <w:sz w:val="30"/>
          <w:szCs w:val="30"/>
        </w:rPr>
      </w:pPr>
      <w:r>
        <w:rPr>
          <w:rFonts w:hint="eastAsia" w:ascii="仿宋_GB2312" w:eastAsia="仿宋_GB2312" w:cs="仿宋_GB2312"/>
          <w:bCs/>
          <w:kern w:val="0"/>
          <w:sz w:val="32"/>
          <w:szCs w:val="32"/>
        </w:rPr>
        <w:t>7.</w:t>
      </w:r>
      <w:r>
        <w:rPr>
          <w:rFonts w:hint="eastAsia" w:ascii="仿宋_GB2312" w:eastAsia="仿宋_GB2312" w:cs="仿宋_GB2312"/>
          <w:bCs/>
          <w:kern w:val="0"/>
          <w:sz w:val="32"/>
          <w:szCs w:val="32"/>
          <w:lang w:val="en-US" w:eastAsia="zh-CN"/>
        </w:rPr>
        <w:t xml:space="preserve"> </w:t>
      </w:r>
      <w:r>
        <w:rPr>
          <w:rFonts w:hint="eastAsia" w:ascii="仿宋_GB2312" w:eastAsia="仿宋_GB2312" w:cs="仿宋_GB2312"/>
          <w:bCs/>
          <w:kern w:val="0"/>
          <w:sz w:val="32"/>
          <w:szCs w:val="32"/>
        </w:rPr>
        <w:t>卫生健康支出（类）行政事业单位医疗（款）事业单位医疗（项）。年初预算为12.64万元，支出决算为10.19万元，完成年初预算的80.62%。决算数小于预算数的主要原因是退休人员增加造成医疗费用减少。</w:t>
      </w:r>
    </w:p>
    <w:p>
      <w:pPr>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8. 卫生健康支出（类）行政事业单位医疗（款）其他行政事业单位医疗支出（项）。年初预算为0万元，支出决算为0.14万元，完成年初预算约100%。决算数大于预算数的主要原因是年终市财政局安排其他行政事业单位医疗支出经费。</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9. 住房保障支出（类）住房改革支出（款）住房公积金（项）。年初预算为</w:t>
      </w:r>
      <w:r>
        <w:rPr>
          <w:rFonts w:hint="eastAsia" w:ascii="仿宋_GB2312" w:hAnsi="华文仿宋" w:eastAsia="仿宋_GB2312"/>
          <w:bCs/>
          <w:sz w:val="32"/>
          <w:szCs w:val="32"/>
        </w:rPr>
        <w:t>20.05</w:t>
      </w:r>
      <w:r>
        <w:rPr>
          <w:rFonts w:hint="eastAsia" w:ascii="仿宋_GB2312" w:eastAsia="仿宋_GB2312" w:cs="仿宋_GB2312"/>
          <w:bCs/>
          <w:kern w:val="0"/>
          <w:sz w:val="32"/>
          <w:szCs w:val="32"/>
        </w:rPr>
        <w:t>万元，支出决算为25.29万元，完成年初预算的126.13%。决算数大于预算数的主要原因是市财政局年终安排增人增资住房公积金。</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10. 住房保障支出（类）住房改革支出（款）购房补贴（项）。年初预算为0万元，支出决算为0.01万元，完成年初预算的100%。决算数大于预算数的主要原因是年终市财政局安排购房补贴。</w:t>
      </w:r>
    </w:p>
    <w:p>
      <w:pPr>
        <w:autoSpaceDE w:val="0"/>
        <w:autoSpaceDN w:val="0"/>
        <w:adjustRightInd w:val="0"/>
        <w:spacing w:line="580" w:lineRule="exact"/>
        <w:ind w:firstLine="643" w:firstLineChars="200"/>
        <w:jc w:val="center"/>
        <w:rPr>
          <w:rFonts w:ascii="仿宋_GB2312" w:eastAsia="仿宋_GB2312" w:cs="仿宋_GB2312"/>
          <w:b/>
          <w:bCs w:val="0"/>
          <w:kern w:val="0"/>
          <w:sz w:val="32"/>
          <w:szCs w:val="32"/>
        </w:rPr>
      </w:pPr>
      <w:r>
        <w:rPr>
          <w:rFonts w:hint="eastAsia" w:ascii="仿宋_GB2312" w:eastAsia="仿宋_GB2312" w:cs="仿宋_GB2312"/>
          <w:b/>
          <w:bCs w:val="0"/>
          <w:kern w:val="0"/>
          <w:sz w:val="32"/>
          <w:szCs w:val="32"/>
        </w:rPr>
        <w:t>六、2020年度一般公共预算财政拨款基本支出决算情况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2020年度财政拨款基本支出326.55万元，其中：</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人员经费301.62万元，主要包括：基本工资、津贴补贴、 奖金、伙食补助费、绩效工资、机关事业单位基本养老保险缴费、职业年金缴费、职工基本医疗保险缴费、其他社会保障缴费、住房公积金、退休费等；</w:t>
      </w:r>
    </w:p>
    <w:p>
      <w:pPr>
        <w:autoSpaceDE w:val="0"/>
        <w:autoSpaceDN w:val="0"/>
        <w:adjustRightInd w:val="0"/>
        <w:spacing w:line="56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公用经费24.93万元，主要包括：办公费、印刷费、水费、电费、邮电费、物业管理费、差旅费、维修（护）费、租赁费、会议费、培训费、公务接待费、工会经费、福利费、公务用车运行维护费、其他交通费用、税金及附加费用、其他商品和服务支出。</w:t>
      </w:r>
    </w:p>
    <w:p>
      <w:pPr>
        <w:autoSpaceDE w:val="0"/>
        <w:autoSpaceDN w:val="0"/>
        <w:adjustRightInd w:val="0"/>
        <w:spacing w:line="580" w:lineRule="exact"/>
        <w:ind w:firstLine="643" w:firstLineChars="200"/>
        <w:jc w:val="left"/>
        <w:rPr>
          <w:rFonts w:ascii="仿宋_GB2312" w:eastAsia="仿宋_GB2312" w:cs="仿宋_GB2312"/>
          <w:bCs/>
          <w:kern w:val="0"/>
          <w:sz w:val="32"/>
          <w:szCs w:val="32"/>
        </w:rPr>
      </w:pPr>
      <w:r>
        <w:rPr>
          <w:rFonts w:hint="eastAsia" w:ascii="仿宋_GB2312" w:eastAsia="仿宋_GB2312" w:cs="仿宋_GB2312"/>
          <w:b/>
          <w:bCs w:val="0"/>
          <w:kern w:val="0"/>
          <w:sz w:val="32"/>
          <w:szCs w:val="32"/>
        </w:rPr>
        <w:t>七、</w:t>
      </w:r>
      <w:r>
        <w:rPr>
          <w:rFonts w:hint="eastAsia" w:ascii="仿宋_GB2312" w:eastAsia="仿宋_GB2312" w:cs="仿宋_GB2312"/>
          <w:b/>
          <w:kern w:val="0"/>
          <w:sz w:val="32"/>
          <w:szCs w:val="32"/>
        </w:rPr>
        <w:t>2020年度一般公共预算财政拨款“三公” 经费支出决算情况</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（一）“三公”经费财政拨款支出决算总体情况 </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 年度“三公”经费财政拨款支出预算为3.53万元，支出决算为1.84万元，完成预算的52.12%，其中：因公出国（境）费支出决算为0万元，完成预算的100%；公务用车购置及运行费支出决算为1.62万元，完成预算的64.8%；公务接待费支出决算为0.22万元，完成预算的21.36%。2020年度“三公”经费支出决算数小于预算数的主要原因是认真贯彻落实中央“八项规定”精神和厉行节约要求，进一步从严控制“三公”经费开支，全年实际支出比预算有所节约。</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三公”经费财政拨款支出决算数比2019年减少0.13万元，下降7.06%。其中：因公出国（境）费支出决算减少0万元，下降0%；公务用车购置及运行费支出决算减少0.02万元，下降1.23%；公务接待费支出决算减少0.09万元，下降10.71%。</w:t>
      </w:r>
    </w:p>
    <w:p>
      <w:pPr>
        <w:spacing w:line="520" w:lineRule="exact"/>
        <w:ind w:firstLine="709"/>
        <w:rPr>
          <w:rFonts w:ascii="仿宋_GB2312" w:eastAsia="仿宋_GB2312" w:cs="仿宋_GB2312"/>
          <w:bCs/>
          <w:kern w:val="0"/>
          <w:sz w:val="32"/>
          <w:szCs w:val="32"/>
        </w:rPr>
      </w:pPr>
      <w:r>
        <w:rPr>
          <w:rFonts w:hint="eastAsia" w:ascii="仿宋_GB2312" w:eastAsia="仿宋_GB2312" w:cs="仿宋_GB2312"/>
          <w:bCs/>
          <w:kern w:val="0"/>
          <w:sz w:val="32"/>
          <w:szCs w:val="32"/>
        </w:rPr>
        <w:t>因公出国（境）费支出减少的主要原因是</w:t>
      </w:r>
      <w:r>
        <w:rPr>
          <w:rFonts w:hint="eastAsia" w:ascii="仿宋_GB2312" w:hAnsi="仿宋" w:eastAsia="仿宋_GB2312" w:cs="仿宋"/>
          <w:sz w:val="32"/>
          <w:szCs w:val="32"/>
        </w:rPr>
        <w:t>2020年上级单位没有安排因公出国（境）活动</w:t>
      </w:r>
      <w:r>
        <w:rPr>
          <w:rFonts w:hint="eastAsia" w:ascii="仿宋_GB2312" w:eastAsia="仿宋_GB2312" w:cs="仿宋_GB2312"/>
          <w:bCs/>
          <w:kern w:val="0"/>
          <w:sz w:val="32"/>
          <w:szCs w:val="32"/>
        </w:rPr>
        <w:t>；公务用车购置及运行费支出减少的主要原因是青少年宫进一步从严控制“三公”经费开支；公务接待费支出减少的主要原因是青少年宫进一步从严控制“三公”经费开支。</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（二）“三公”经费财政拨款支出决算具体情况</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2020年度“三公”经费财政拨款支出决算中，因公出国（境）费支出决算0万元，占0%；公务用车购置及运行费支出决算1.62万元，占88.04%；公务接待费支出决算0.22万元，占11.96%。具体情况如下：  </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1.因公出国（境）费支出0万元。全年安排机关和所属单位因公出国（境）团组0个，累计0人次。 </w:t>
      </w:r>
    </w:p>
    <w:p>
      <w:pPr>
        <w:autoSpaceDE w:val="0"/>
        <w:autoSpaceDN w:val="0"/>
        <w:adjustRightInd w:val="0"/>
        <w:spacing w:line="580" w:lineRule="exact"/>
        <w:ind w:firstLine="640"/>
        <w:jc w:val="left"/>
        <w:rPr>
          <w:rFonts w:ascii="仿宋_GB2312" w:eastAsia="仿宋_GB2312" w:cs="仿宋_GB2312"/>
          <w:bCs/>
          <w:kern w:val="0"/>
          <w:sz w:val="32"/>
          <w:szCs w:val="32"/>
        </w:rPr>
      </w:pPr>
      <w:r>
        <w:rPr>
          <w:rFonts w:hint="eastAsia" w:ascii="仿宋_GB2312" w:eastAsia="仿宋_GB2312" w:cs="仿宋_GB2312"/>
          <w:bCs/>
          <w:kern w:val="0"/>
          <w:sz w:val="32"/>
          <w:szCs w:val="32"/>
        </w:rPr>
        <w:t>2.公务用车购置及运行费支出1.62万元。其中：公务用车购置支出为0万元。公务用车运行支出1.62万元。市内因公出行以及开展业务所需车辆燃料费、维修费、过桥过路费、保险费等。2020年，机关所属单位开支财政拨款的公务用车保有量为1辆。</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3.公务接待费支出0.22万元。其中：</w:t>
      </w:r>
    </w:p>
    <w:p>
      <w:pPr>
        <w:autoSpaceDE w:val="0"/>
        <w:autoSpaceDN w:val="0"/>
        <w:adjustRightInd w:val="0"/>
        <w:spacing w:line="580" w:lineRule="exact"/>
        <w:ind w:firstLine="640"/>
        <w:jc w:val="left"/>
        <w:rPr>
          <w:rFonts w:ascii="仿宋_GB2312" w:eastAsia="仿宋_GB2312" w:cs="仿宋_GB2312"/>
          <w:bCs/>
          <w:kern w:val="0"/>
          <w:sz w:val="32"/>
          <w:szCs w:val="32"/>
        </w:rPr>
      </w:pPr>
      <w:r>
        <w:rPr>
          <w:rFonts w:hint="eastAsia" w:ascii="仿宋_GB2312" w:eastAsia="仿宋_GB2312" w:cs="仿宋_GB2312"/>
          <w:bCs/>
          <w:kern w:val="0"/>
          <w:sz w:val="32"/>
          <w:szCs w:val="32"/>
        </w:rPr>
        <w:t>外宾接待支出0万元。2020年共接待国（境）外来访团组0个、来访外宾0人次。</w:t>
      </w:r>
    </w:p>
    <w:p>
      <w:pPr>
        <w:autoSpaceDE w:val="0"/>
        <w:autoSpaceDN w:val="0"/>
        <w:adjustRightInd w:val="0"/>
        <w:spacing w:line="580" w:lineRule="exact"/>
        <w:ind w:firstLine="640"/>
        <w:jc w:val="left"/>
        <w:rPr>
          <w:rFonts w:ascii="仿宋_GB2312" w:eastAsia="仿宋_GB2312" w:cs="仿宋_GB2312"/>
          <w:bCs/>
          <w:kern w:val="0"/>
          <w:sz w:val="32"/>
          <w:szCs w:val="32"/>
        </w:rPr>
      </w:pPr>
      <w:r>
        <w:rPr>
          <w:rFonts w:hint="eastAsia" w:ascii="仿宋_GB2312" w:eastAsia="仿宋_GB2312" w:cs="仿宋_GB2312"/>
          <w:bCs/>
          <w:kern w:val="0"/>
          <w:sz w:val="32"/>
          <w:szCs w:val="32"/>
        </w:rPr>
        <w:t>国内公务接待支出0.22万元。主要用于接待外单位到我市考察调研、学习交流工作等公务活动。2020年共接待国内来访团组3个、来宾15人次。</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w:t>
      </w:r>
      <w:r>
        <w:rPr>
          <w:rFonts w:hint="eastAsia" w:ascii="仿宋_GB2312" w:eastAsia="仿宋_GB2312" w:cs="仿宋_GB2312"/>
          <w:b/>
          <w:bCs w:val="0"/>
          <w:kern w:val="0"/>
          <w:sz w:val="32"/>
          <w:szCs w:val="32"/>
        </w:rPr>
        <w:t xml:space="preserve"> </w:t>
      </w:r>
      <w:r>
        <w:rPr>
          <w:rFonts w:hint="eastAsia" w:ascii="仿宋_GB2312" w:eastAsia="仿宋_GB2312" w:cs="仿宋_GB2312"/>
          <w:b/>
          <w:bCs w:val="0"/>
          <w:kern w:val="0"/>
          <w:sz w:val="32"/>
          <w:szCs w:val="32"/>
          <w:lang w:val="en-US" w:eastAsia="zh-CN"/>
        </w:rPr>
        <w:t xml:space="preserve"> </w:t>
      </w:r>
      <w:r>
        <w:rPr>
          <w:rFonts w:hint="eastAsia" w:ascii="仿宋_GB2312" w:eastAsia="仿宋_GB2312" w:cs="仿宋_GB2312"/>
          <w:b/>
          <w:bCs w:val="0"/>
          <w:kern w:val="0"/>
          <w:sz w:val="32"/>
          <w:szCs w:val="32"/>
        </w:rPr>
        <w:t>八、</w:t>
      </w:r>
      <w:r>
        <w:rPr>
          <w:rFonts w:hint="eastAsia" w:ascii="仿宋_GB2312" w:eastAsia="仿宋_GB2312" w:cs="仿宋_GB2312"/>
          <w:b/>
          <w:kern w:val="0"/>
          <w:sz w:val="32"/>
          <w:szCs w:val="32"/>
        </w:rPr>
        <w:t xml:space="preserve">2020年度政府性基金预算财政拨款收入支出决算情况说明 </w:t>
      </w:r>
    </w:p>
    <w:p>
      <w:pPr>
        <w:autoSpaceDE w:val="0"/>
        <w:autoSpaceDN w:val="0"/>
        <w:adjustRightInd w:val="0"/>
        <w:spacing w:line="580" w:lineRule="exact"/>
        <w:ind w:firstLine="320" w:firstLineChars="100"/>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本</w:t>
      </w: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2020年度政府基金预算财政拨款收、支总决算0万元、0万元。与2019年相比，收、支总计持平。</w:t>
      </w:r>
    </w:p>
    <w:p>
      <w:pPr>
        <w:numPr>
          <w:ilvl w:val="0"/>
          <w:numId w:val="2"/>
        </w:num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国有资本经营预算财政拨款支出情况说明</w:t>
      </w:r>
    </w:p>
    <w:p>
      <w:p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2020年度国有资本经营预算财政拨款本年支出0万元。</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十、2020年度预算绩效情况说明</w:t>
      </w:r>
    </w:p>
    <w:p>
      <w:pPr>
        <w:numPr>
          <w:ilvl w:val="0"/>
          <w:numId w:val="3"/>
        </w:numPr>
        <w:autoSpaceDE w:val="0"/>
        <w:autoSpaceDN w:val="0"/>
        <w:adjustRightInd w:val="0"/>
        <w:spacing w:line="580" w:lineRule="exact"/>
        <w:ind w:firstLine="640" w:firstLineChars="200"/>
        <w:jc w:val="left"/>
        <w:rPr>
          <w:rFonts w:ascii="仿宋_GB2312" w:eastAsia="仿宋_GB2312" w:cs="仿宋_GB2312"/>
          <w:bCs/>
          <w:kern w:val="0"/>
          <w:sz w:val="32"/>
          <w:szCs w:val="32"/>
        </w:rPr>
      </w:pPr>
      <w:r>
        <w:rPr>
          <w:rFonts w:hint="eastAsia" w:ascii="仿宋_GB2312" w:eastAsia="仿宋_GB2312" w:cs="仿宋_GB2312"/>
          <w:bCs/>
          <w:kern w:val="0"/>
          <w:sz w:val="32"/>
          <w:szCs w:val="32"/>
        </w:rPr>
        <w:t>绩效管理工作开展情况</w:t>
      </w:r>
    </w:p>
    <w:p>
      <w:pPr>
        <w:autoSpaceDE w:val="0"/>
        <w:autoSpaceDN w:val="0"/>
        <w:adjustRightInd w:val="0"/>
        <w:spacing w:line="580" w:lineRule="exact"/>
        <w:jc w:val="left"/>
        <w:rPr>
          <w:rFonts w:ascii="仿宋_GB2312" w:eastAsia="仿宋_GB2312" w:cs="仿宋_GB2312"/>
          <w:bCs/>
          <w:kern w:val="0"/>
          <w:sz w:val="32"/>
          <w:szCs w:val="32"/>
        </w:rPr>
      </w:pPr>
      <w:r>
        <w:rPr>
          <w:rFonts w:hint="eastAsia" w:ascii="仿宋_GB2312" w:eastAsia="仿宋_GB2312" w:cs="仿宋_GB2312"/>
          <w:bCs/>
          <w:kern w:val="0"/>
          <w:sz w:val="32"/>
          <w:szCs w:val="32"/>
        </w:rPr>
        <w:t xml:space="preserve">    根据财政预算管理要求，青少年宫组织对2020年度一般公共预算整体支出全面开展绩效自评。共涉及预算资金200万元，自评覆盖率达到年初预算的96%。</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bCs/>
          <w:kern w:val="0"/>
          <w:sz w:val="32"/>
          <w:szCs w:val="32"/>
        </w:rPr>
        <w:t>（二）</w:t>
      </w:r>
      <w:r>
        <w:rPr>
          <w:rFonts w:hint="eastAsia" w:ascii="仿宋_GB2312" w:eastAsia="仿宋_GB2312" w:cs="仿宋_GB2312"/>
          <w:bCs/>
          <w:kern w:val="0"/>
          <w:sz w:val="32"/>
          <w:szCs w:val="32"/>
          <w:lang w:eastAsia="zh-CN"/>
        </w:rPr>
        <w:t>单位</w:t>
      </w:r>
      <w:r>
        <w:rPr>
          <w:rFonts w:hint="eastAsia" w:ascii="仿宋_GB2312" w:eastAsia="仿宋_GB2312" w:cs="仿宋_GB2312"/>
          <w:bCs/>
          <w:kern w:val="0"/>
          <w:sz w:val="32"/>
          <w:szCs w:val="32"/>
        </w:rPr>
        <w:t>决算中项目绩效自评结果。</w:t>
      </w:r>
    </w:p>
    <w:p>
      <w:pPr>
        <w:spacing w:line="60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青少年宫根据年初设定的整体绩效目标，项目自评得分为90.63分。发现的主要问题及原因：受新冠肺炎疫情影响，2020年不宜举行大型集聚性活动，柳州市青少年宫按照疫情防控要求，严格控制汇报演出规模及场数，在社会上的影响未能达到预期指标。下一步改进措施：积极开展汇报演出、研学活动，为青少年发展提供艺术平台，增强社会影响力。</w:t>
      </w:r>
    </w:p>
    <w:p>
      <w:pPr>
        <w:autoSpaceDE w:val="0"/>
        <w:autoSpaceDN w:val="0"/>
        <w:adjustRightInd w:val="0"/>
        <w:spacing w:line="580" w:lineRule="exact"/>
        <w:ind w:firstLine="643" w:firstLineChars="200"/>
        <w:jc w:val="left"/>
        <w:rPr>
          <w:rFonts w:ascii="仿宋_GB2312" w:eastAsia="仿宋_GB2312" w:cs="仿宋_GB2312"/>
          <w:b/>
          <w:kern w:val="0"/>
          <w:sz w:val="32"/>
          <w:szCs w:val="32"/>
        </w:rPr>
      </w:pPr>
      <w:r>
        <w:rPr>
          <w:rFonts w:hint="eastAsia" w:ascii="仿宋_GB2312" w:eastAsia="仿宋_GB2312" w:cs="仿宋_GB2312"/>
          <w:b/>
          <w:kern w:val="0"/>
          <w:sz w:val="32"/>
          <w:szCs w:val="32"/>
        </w:rPr>
        <w:t>十一、其他重要事项的情况</w:t>
      </w:r>
    </w:p>
    <w:p>
      <w:pPr>
        <w:autoSpaceDE w:val="0"/>
        <w:autoSpaceDN w:val="0"/>
        <w:adjustRightInd w:val="0"/>
        <w:spacing w:line="58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（一）机关运行经费支出情况。2020年度</w:t>
      </w:r>
      <w:bookmarkStart w:id="0" w:name="_GoBack"/>
      <w:bookmarkEnd w:id="0"/>
      <w:r>
        <w:rPr>
          <w:rFonts w:hint="eastAsia" w:ascii="仿宋_GB2312" w:eastAsia="仿宋_GB2312" w:cs="仿宋_GB2312"/>
          <w:kern w:val="0"/>
          <w:sz w:val="32"/>
          <w:szCs w:val="32"/>
        </w:rPr>
        <w:t>机关运行经费支出0万元，比2019年减少0万元，减少0%</w:t>
      </w:r>
      <w:r>
        <w:rPr>
          <w:rFonts w:hint="eastAsia" w:ascii="仿宋_GB2312" w:eastAsia="仿宋_GB2312" w:cs="仿宋_GB2312"/>
          <w:kern w:val="0"/>
          <w:sz w:val="32"/>
          <w:szCs w:val="32"/>
          <w:lang w:eastAsia="zh-CN"/>
        </w:rPr>
        <w:t>。</w:t>
      </w:r>
    </w:p>
    <w:p>
      <w:pPr>
        <w:autoSpaceDE w:val="0"/>
        <w:autoSpaceDN w:val="0"/>
        <w:adjustRightInd w:val="0"/>
        <w:spacing w:line="58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（二）政府采购支出情况。2020年度</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政府采购支出总额</w:t>
      </w:r>
      <w:r>
        <w:rPr>
          <w:rFonts w:hint="eastAsia" w:ascii="仿宋_GB2312" w:hAnsi="仿宋" w:eastAsia="仿宋_GB2312" w:cs="仿宋"/>
          <w:bCs/>
          <w:sz w:val="32"/>
          <w:szCs w:val="32"/>
        </w:rPr>
        <w:t>1.66</w:t>
      </w:r>
      <w:r>
        <w:rPr>
          <w:rFonts w:hint="eastAsia" w:ascii="仿宋_GB2312" w:eastAsia="仿宋_GB2312" w:cs="仿宋_GB2312"/>
          <w:kern w:val="0"/>
          <w:sz w:val="32"/>
          <w:szCs w:val="32"/>
        </w:rPr>
        <w:t>万元，其中：</w:t>
      </w:r>
      <w:r>
        <w:rPr>
          <w:rFonts w:hint="eastAsia" w:ascii="仿宋_GB2312" w:hAnsi="仿宋" w:eastAsia="仿宋_GB2312" w:cs="仿宋"/>
          <w:bCs/>
          <w:sz w:val="32"/>
          <w:szCs w:val="32"/>
        </w:rPr>
        <w:t>货物支出1.66万元。</w:t>
      </w:r>
    </w:p>
    <w:p>
      <w:pPr>
        <w:autoSpaceDE w:val="0"/>
        <w:autoSpaceDN w:val="0"/>
        <w:adjustRightInd w:val="0"/>
        <w:spacing w:line="58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（三）国有资产占用情况。截至年末</w:t>
      </w:r>
      <w:r>
        <w:rPr>
          <w:rFonts w:hint="eastAsia" w:ascii="仿宋_GB2312" w:eastAsia="仿宋_GB2312" w:cs="仿宋_GB2312"/>
          <w:kern w:val="0"/>
          <w:sz w:val="32"/>
          <w:szCs w:val="32"/>
          <w:lang w:eastAsia="zh-CN"/>
        </w:rPr>
        <w:t>单位</w:t>
      </w:r>
      <w:r>
        <w:rPr>
          <w:rFonts w:hint="eastAsia" w:ascii="仿宋_GB2312" w:eastAsia="仿宋_GB2312" w:cs="仿宋_GB2312"/>
          <w:kern w:val="0"/>
          <w:sz w:val="32"/>
          <w:szCs w:val="32"/>
        </w:rPr>
        <w:t xml:space="preserve">共有车辆1辆，其中：公务用车1辆。单价50万元以上通用设备0台（套），单价100 万元以上专用设备0台（套）。 </w:t>
      </w:r>
    </w:p>
    <w:p>
      <w:pPr>
        <w:ind w:firstLine="645"/>
        <w:jc w:val="center"/>
        <w:rPr>
          <w:rFonts w:ascii="仿宋_GB2312" w:eastAsia="仿宋_GB2312"/>
          <w:b/>
          <w:sz w:val="32"/>
          <w:szCs w:val="32"/>
        </w:rPr>
      </w:pPr>
      <w:r>
        <w:rPr>
          <w:rFonts w:hint="eastAsia" w:ascii="仿宋_GB2312" w:eastAsia="仿宋_GB2312"/>
          <w:b/>
          <w:sz w:val="32"/>
          <w:szCs w:val="32"/>
        </w:rPr>
        <w:t>第四部分：名词解释</w:t>
      </w:r>
    </w:p>
    <w:p>
      <w:pPr>
        <w:numPr>
          <w:ilvl w:val="0"/>
          <w:numId w:val="4"/>
        </w:numPr>
        <w:ind w:firstLine="645"/>
        <w:rPr>
          <w:rFonts w:ascii="仿宋_GB2312" w:eastAsia="仿宋_GB2312"/>
          <w:bCs/>
          <w:sz w:val="32"/>
          <w:szCs w:val="32"/>
        </w:rPr>
      </w:pPr>
      <w:r>
        <w:rPr>
          <w:rFonts w:hint="eastAsia" w:ascii="仿宋_GB2312" w:eastAsia="仿宋_GB2312"/>
          <w:bCs/>
          <w:sz w:val="32"/>
          <w:szCs w:val="32"/>
        </w:rPr>
        <w:t>财政拨款收入：指市本级财政当年拨付的资金。</w:t>
      </w:r>
    </w:p>
    <w:p>
      <w:pPr>
        <w:numPr>
          <w:ilvl w:val="0"/>
          <w:numId w:val="4"/>
        </w:numPr>
        <w:ind w:firstLine="645"/>
        <w:rPr>
          <w:rFonts w:ascii="仿宋_GB2312" w:eastAsia="仿宋_GB2312"/>
          <w:bCs/>
          <w:sz w:val="32"/>
          <w:szCs w:val="32"/>
        </w:rPr>
      </w:pPr>
      <w:r>
        <w:rPr>
          <w:rFonts w:hint="eastAsia" w:ascii="仿宋_GB2312" w:eastAsia="仿宋_GB2312"/>
          <w:bCs/>
          <w:sz w:val="32"/>
          <w:szCs w:val="32"/>
        </w:rPr>
        <w:t>其他收入：指除上述“财政拨款收入”、“事业收入”、“经营收入”等以外的收入。主要是利息收入。</w:t>
      </w:r>
    </w:p>
    <w:p>
      <w:pPr>
        <w:numPr>
          <w:ilvl w:val="0"/>
          <w:numId w:val="4"/>
        </w:numPr>
        <w:ind w:firstLine="645"/>
        <w:rPr>
          <w:rFonts w:ascii="仿宋_GB2312" w:eastAsia="仿宋_GB2312"/>
          <w:bCs/>
          <w:sz w:val="32"/>
          <w:szCs w:val="32"/>
        </w:rPr>
      </w:pPr>
      <w:r>
        <w:rPr>
          <w:rFonts w:hint="eastAsia" w:ascii="仿宋_GB2312" w:eastAsia="仿宋_GB2312"/>
          <w:bCs/>
          <w:sz w:val="32"/>
          <w:szCs w:val="32"/>
        </w:rPr>
        <w:t>年初结转和结余：指以前年度尚未完成、结转到本年按规定继续使用的资金。</w:t>
      </w:r>
    </w:p>
    <w:p>
      <w:pPr>
        <w:numPr>
          <w:ilvl w:val="0"/>
          <w:numId w:val="4"/>
        </w:numPr>
        <w:ind w:firstLine="645"/>
        <w:rPr>
          <w:rFonts w:ascii="仿宋_GB2312" w:eastAsia="仿宋_GB2312"/>
          <w:bCs/>
          <w:sz w:val="32"/>
          <w:szCs w:val="32"/>
        </w:rPr>
      </w:pPr>
      <w:r>
        <w:rPr>
          <w:rFonts w:hint="eastAsia" w:ascii="仿宋_GB2312" w:eastAsia="仿宋_GB2312"/>
          <w:bCs/>
          <w:sz w:val="32"/>
          <w:szCs w:val="32"/>
        </w:rPr>
        <w:t>年末结转和结余：指本年度或以前年度预算安排、因客观条件发生变化无法按原计划实施，需延迟到以后年度按有关规定继续使用的资金。</w:t>
      </w:r>
    </w:p>
    <w:p>
      <w:pPr>
        <w:numPr>
          <w:ilvl w:val="0"/>
          <w:numId w:val="4"/>
        </w:numPr>
        <w:ind w:firstLine="645"/>
        <w:rPr>
          <w:rFonts w:ascii="仿宋_GB2312" w:eastAsia="仿宋_GB2312"/>
          <w:bCs/>
          <w:sz w:val="32"/>
          <w:szCs w:val="32"/>
        </w:rPr>
      </w:pPr>
      <w:r>
        <w:rPr>
          <w:rFonts w:hint="eastAsia" w:ascii="仿宋_GB2312" w:eastAsia="仿宋_GB2312"/>
          <w:bCs/>
          <w:sz w:val="32"/>
          <w:szCs w:val="32"/>
        </w:rPr>
        <w:t>基本支出：指为保障机构正常运转、完成日常工作任务而发生的人员支出和公用支出。</w:t>
      </w:r>
    </w:p>
    <w:p>
      <w:pPr>
        <w:numPr>
          <w:ilvl w:val="0"/>
          <w:numId w:val="4"/>
        </w:numPr>
        <w:ind w:firstLine="645"/>
        <w:rPr>
          <w:rFonts w:ascii="仿宋_GB2312" w:eastAsia="仿宋_GB2312"/>
          <w:bCs/>
          <w:sz w:val="32"/>
          <w:szCs w:val="32"/>
        </w:rPr>
      </w:pPr>
      <w:r>
        <w:rPr>
          <w:rFonts w:hint="eastAsia" w:ascii="仿宋_GB2312" w:eastAsia="仿宋_GB2312"/>
          <w:bCs/>
          <w:sz w:val="32"/>
          <w:szCs w:val="32"/>
        </w:rPr>
        <w:t>项目支出：指在基本支出之外为完成特定行政任务和事业发展目标所发生的支出。</w:t>
      </w:r>
    </w:p>
    <w:p>
      <w:pPr>
        <w:numPr>
          <w:ilvl w:val="0"/>
          <w:numId w:val="4"/>
        </w:numPr>
        <w:ind w:firstLine="645"/>
        <w:rPr>
          <w:rFonts w:ascii="仿宋_GB2312" w:eastAsia="仿宋_GB2312"/>
          <w:bCs/>
          <w:sz w:val="32"/>
          <w:szCs w:val="32"/>
        </w:rPr>
      </w:pPr>
      <w:r>
        <w:rPr>
          <w:rFonts w:hint="eastAsia" w:ascii="仿宋_GB2312" w:eastAsia="仿宋_GB2312"/>
          <w:bCs/>
          <w:sz w:val="32"/>
          <w:szCs w:val="32"/>
        </w:rPr>
        <w:t>“三公”经费：纳入市本级财政预决算管理的“三公”经费，是指市本级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Pr>
          <w:rFonts w:ascii="仿宋_GB2312" w:eastAsia="仿宋_GB2312"/>
          <w:bCs/>
          <w:sz w:val="32"/>
          <w:szCs w:val="32"/>
        </w:rPr>
      </w:pPr>
    </w:p>
    <w:p>
      <w:pPr>
        <w:autoSpaceDE w:val="0"/>
        <w:autoSpaceDN w:val="0"/>
        <w:adjustRightInd w:val="0"/>
        <w:spacing w:line="560" w:lineRule="exact"/>
        <w:ind w:firstLine="627" w:firstLineChars="196"/>
        <w:jc w:val="left"/>
        <w:rPr>
          <w:rFonts w:ascii="仿宋_GB2312" w:eastAsia="仿宋_GB2312" w:cs="仿宋_GB2312"/>
          <w:kern w:val="0"/>
          <w:sz w:val="32"/>
          <w:szCs w:val="32"/>
        </w:rPr>
      </w:pPr>
      <w:r>
        <w:rPr>
          <w:rFonts w:hint="eastAsia" w:ascii="仿宋_GB2312" w:eastAsia="仿宋_GB2312" w:cs="仿宋_GB2312"/>
          <w:kern w:val="0"/>
          <w:sz w:val="32"/>
          <w:szCs w:val="32"/>
        </w:rPr>
        <w:t>附件：1.柳州市青少年宫2020年度决算公开报表</w:t>
      </w:r>
    </w:p>
    <w:p>
      <w:pPr>
        <w:autoSpaceDE w:val="0"/>
        <w:autoSpaceDN w:val="0"/>
        <w:adjustRightInd w:val="0"/>
        <w:spacing w:line="560" w:lineRule="exact"/>
        <w:ind w:left="1608" w:leftChars="760" w:hanging="12" w:hangingChars="4"/>
        <w:jc w:val="left"/>
        <w:rPr>
          <w:rFonts w:ascii="仿宋_GB2312" w:eastAsia="仿宋_GB2312" w:cs="仿宋_GB2312"/>
          <w:kern w:val="0"/>
          <w:sz w:val="32"/>
          <w:szCs w:val="32"/>
        </w:rPr>
      </w:pPr>
      <w:r>
        <w:rPr>
          <w:rFonts w:hint="eastAsia" w:ascii="仿宋_GB2312" w:eastAsia="仿宋_GB2312" w:cs="仿宋_GB2312"/>
          <w:kern w:val="0"/>
          <w:sz w:val="32"/>
          <w:szCs w:val="32"/>
        </w:rPr>
        <w:t>2.柳州市青少年宫2020年度整体支出绩效自评表</w:t>
      </w:r>
    </w:p>
    <w:p/>
    <w:sectPr>
      <w:headerReference r:id="rId3" w:type="default"/>
      <w:footerReference r:id="rId4" w:type="default"/>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- 13 -</w:t>
    </w:r>
    <w:r>
      <w:rPr>
        <w:sz w:val="30"/>
        <w:szCs w:val="3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06CE2"/>
    <w:multiLevelType w:val="singleLevel"/>
    <w:tmpl w:val="98E06CE2"/>
    <w:lvl w:ilvl="0" w:tentative="0">
      <w:start w:val="9"/>
      <w:numFmt w:val="chineseCounting"/>
      <w:suff w:val="nothing"/>
      <w:lvlText w:val="%1、"/>
      <w:lvlJc w:val="left"/>
      <w:rPr>
        <w:rFonts w:hint="eastAsia"/>
      </w:rPr>
    </w:lvl>
  </w:abstractNum>
  <w:abstractNum w:abstractNumId="1">
    <w:nsid w:val="5B3C894F"/>
    <w:multiLevelType w:val="singleLevel"/>
    <w:tmpl w:val="5B3C894F"/>
    <w:lvl w:ilvl="0" w:tentative="0">
      <w:start w:val="1"/>
      <w:numFmt w:val="chineseCounting"/>
      <w:suff w:val="nothing"/>
      <w:lvlText w:val="（%1）"/>
      <w:lvlJc w:val="left"/>
    </w:lvl>
  </w:abstractNum>
  <w:abstractNum w:abstractNumId="2">
    <w:nsid w:val="5B3C8BA7"/>
    <w:multiLevelType w:val="singleLevel"/>
    <w:tmpl w:val="5B3C8BA7"/>
    <w:lvl w:ilvl="0" w:tentative="0">
      <w:start w:val="1"/>
      <w:numFmt w:val="chineseCounting"/>
      <w:suff w:val="nothing"/>
      <w:lvlText w:val="%1、"/>
      <w:lvlJc w:val="left"/>
      <w:pPr>
        <w:ind w:left="615"/>
      </w:pPr>
    </w:lvl>
  </w:abstractNum>
  <w:abstractNum w:abstractNumId="3">
    <w:nsid w:val="5C0C3C26"/>
    <w:multiLevelType w:val="singleLevel"/>
    <w:tmpl w:val="5C0C3C26"/>
    <w:lvl w:ilvl="0" w:tentative="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C256E3D"/>
    <w:rsid w:val="00066CA3"/>
    <w:rsid w:val="006C1367"/>
    <w:rsid w:val="00715385"/>
    <w:rsid w:val="008C672A"/>
    <w:rsid w:val="00C775DA"/>
    <w:rsid w:val="00D94B6C"/>
    <w:rsid w:val="00F66C5B"/>
    <w:rsid w:val="05732DDF"/>
    <w:rsid w:val="0732011F"/>
    <w:rsid w:val="09617C18"/>
    <w:rsid w:val="09DD39B5"/>
    <w:rsid w:val="0A370509"/>
    <w:rsid w:val="0C435240"/>
    <w:rsid w:val="0C585F1A"/>
    <w:rsid w:val="0C713661"/>
    <w:rsid w:val="0C8D333A"/>
    <w:rsid w:val="0CB65929"/>
    <w:rsid w:val="0E074DDF"/>
    <w:rsid w:val="0E4937C0"/>
    <w:rsid w:val="0E804850"/>
    <w:rsid w:val="0EF86CA1"/>
    <w:rsid w:val="124204B5"/>
    <w:rsid w:val="157E4D03"/>
    <w:rsid w:val="17E46BA4"/>
    <w:rsid w:val="182962AB"/>
    <w:rsid w:val="185D28B5"/>
    <w:rsid w:val="192F21C9"/>
    <w:rsid w:val="19395C4C"/>
    <w:rsid w:val="19D073EB"/>
    <w:rsid w:val="1BDC35F1"/>
    <w:rsid w:val="1CC31F67"/>
    <w:rsid w:val="1CDC55A5"/>
    <w:rsid w:val="207B073C"/>
    <w:rsid w:val="21B46302"/>
    <w:rsid w:val="2494767B"/>
    <w:rsid w:val="24D337DC"/>
    <w:rsid w:val="26460DBA"/>
    <w:rsid w:val="26F13632"/>
    <w:rsid w:val="27A95686"/>
    <w:rsid w:val="2B1F42CC"/>
    <w:rsid w:val="2B6F74EB"/>
    <w:rsid w:val="2C4219FE"/>
    <w:rsid w:val="2CC42743"/>
    <w:rsid w:val="2DE30186"/>
    <w:rsid w:val="2E385623"/>
    <w:rsid w:val="2F5E3AB5"/>
    <w:rsid w:val="313B05E1"/>
    <w:rsid w:val="31492785"/>
    <w:rsid w:val="33277736"/>
    <w:rsid w:val="34020F86"/>
    <w:rsid w:val="350C547C"/>
    <w:rsid w:val="351544C3"/>
    <w:rsid w:val="36837B72"/>
    <w:rsid w:val="38B609B4"/>
    <w:rsid w:val="38E122A9"/>
    <w:rsid w:val="39A63F06"/>
    <w:rsid w:val="3A624040"/>
    <w:rsid w:val="3A754C5E"/>
    <w:rsid w:val="3BF52471"/>
    <w:rsid w:val="3ED1439F"/>
    <w:rsid w:val="3EFF538C"/>
    <w:rsid w:val="403977E9"/>
    <w:rsid w:val="481802F7"/>
    <w:rsid w:val="48374EDC"/>
    <w:rsid w:val="49226441"/>
    <w:rsid w:val="4ACD0A20"/>
    <w:rsid w:val="4B5E56A0"/>
    <w:rsid w:val="4BEF6D91"/>
    <w:rsid w:val="4C256E3D"/>
    <w:rsid w:val="4CB52F0F"/>
    <w:rsid w:val="4D134BA2"/>
    <w:rsid w:val="4ECD60CE"/>
    <w:rsid w:val="508000CA"/>
    <w:rsid w:val="52A5205D"/>
    <w:rsid w:val="532F1F9A"/>
    <w:rsid w:val="53B5699A"/>
    <w:rsid w:val="58A3486B"/>
    <w:rsid w:val="5BDF6EAF"/>
    <w:rsid w:val="5E995A3E"/>
    <w:rsid w:val="60501A93"/>
    <w:rsid w:val="62163194"/>
    <w:rsid w:val="621C6B2B"/>
    <w:rsid w:val="624D024D"/>
    <w:rsid w:val="63775CFD"/>
    <w:rsid w:val="6397497F"/>
    <w:rsid w:val="63A71EEB"/>
    <w:rsid w:val="64E65191"/>
    <w:rsid w:val="650E086A"/>
    <w:rsid w:val="65540E38"/>
    <w:rsid w:val="672252FF"/>
    <w:rsid w:val="69B44F51"/>
    <w:rsid w:val="69B474BC"/>
    <w:rsid w:val="6BAA0708"/>
    <w:rsid w:val="6C9F6C1F"/>
    <w:rsid w:val="6DCE2527"/>
    <w:rsid w:val="75AF2CD5"/>
    <w:rsid w:val="770D2422"/>
    <w:rsid w:val="779547A3"/>
    <w:rsid w:val="77AC12B7"/>
    <w:rsid w:val="7845703B"/>
    <w:rsid w:val="79306262"/>
    <w:rsid w:val="7C202E34"/>
    <w:rsid w:val="7E1A64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qFormat/>
    <w:uiPriority w:val="0"/>
    <w:rPr>
      <w:kern w:val="2"/>
      <w:sz w:val="18"/>
      <w:szCs w:val="18"/>
    </w:rPr>
  </w:style>
  <w:style w:type="character" w:customStyle="1" w:styleId="9">
    <w:name w:val="font11"/>
    <w:basedOn w:val="6"/>
    <w:qFormat/>
    <w:uiPriority w:val="0"/>
    <w:rPr>
      <w:rFonts w:hint="eastAsia" w:ascii="宋体" w:hAnsi="宋体" w:eastAsia="宋体" w:cs="宋体"/>
      <w:color w:val="000000"/>
      <w:sz w:val="22"/>
      <w:szCs w:val="22"/>
      <w:u w:val="none"/>
    </w:rPr>
  </w:style>
  <w:style w:type="character" w:customStyle="1" w:styleId="10">
    <w:name w:val="font01"/>
    <w:basedOn w:val="6"/>
    <w:qFormat/>
    <w:uiPriority w:val="0"/>
    <w:rPr>
      <w:rFonts w:hint="eastAsia" w:ascii="宋体" w:hAnsi="宋体" w:eastAsia="宋体" w:cs="宋体"/>
      <w:color w:val="000000"/>
      <w:sz w:val="24"/>
      <w:szCs w:val="24"/>
      <w:u w:val="none"/>
    </w:rPr>
  </w:style>
  <w:style w:type="paragraph" w:customStyle="1" w:styleId="11">
    <w:name w:val="正文A"/>
    <w:basedOn w:val="1"/>
    <w:qFormat/>
    <w:uiPriority w:val="0"/>
    <w:pPr>
      <w:ind w:left="210" w:leftChars="100" w:right="100" w:rightChars="100"/>
    </w:pPr>
    <w:rPr>
      <w:rFonts w:ascii="微软雅黑" w:hAnsi="微软雅黑" w:eastAsia="微软雅黑"/>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795</Words>
  <Characters>4533</Characters>
  <Lines>37</Lines>
  <Paragraphs>10</Paragraphs>
  <TotalTime>2</TotalTime>
  <ScaleCrop>false</ScaleCrop>
  <LinksUpToDate>false</LinksUpToDate>
  <CharactersWithSpaces>5318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2020-07-15T08:43:00Z</dcterms:created>
  <dc:creator>陈冬雪</dc:creator>
  <cp:lastModifiedBy>crystal</cp:lastModifiedBy>
  <cp:lastPrinted>2021-08-17T05:52:00Z</cp:lastPrinted>
  <dcterms:modified xsi:type="dcterms:W3CDTF">2021-09-29T09:48:33Z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328AA43763C5474B8F3D6F11741E7C24</vt:lpwstr>
  </property>
</Properties>
</file>